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F4B" w:rsidRDefault="00D44AA5">
      <w:pPr>
        <w:pStyle w:val="Header"/>
        <w:tabs>
          <w:tab w:val="clear" w:pos="9072"/>
          <w:tab w:val="right" w:pos="9680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#116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  <w:t>R1-2400596</w:t>
      </w:r>
    </w:p>
    <w:p w:rsidR="00C65F4B" w:rsidRDefault="00D44AA5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Athens, Greece, February 26</w:t>
      </w:r>
      <w:r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</w:rPr>
        <w:t>– March</w:t>
      </w:r>
      <w:r>
        <w:rPr>
          <w:rFonts w:ascii="Times New Roman" w:hAnsi="Times New Roman"/>
          <w:bCs/>
          <w:sz w:val="24"/>
          <w:lang w:eastAsia="ja-JP"/>
        </w:rPr>
        <w:t xml:space="preserve"> 1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st</w:t>
      </w:r>
      <w:r>
        <w:rPr>
          <w:rFonts w:ascii="Times New Roman" w:hAnsi="Times New Roman"/>
          <w:bCs/>
          <w:sz w:val="24"/>
          <w:lang w:eastAsia="ja-JP"/>
        </w:rPr>
        <w:t>, 2024</w:t>
      </w:r>
    </w:p>
    <w:p w:rsidR="00C65F4B" w:rsidRDefault="00C65F4B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:rsidR="00C65F4B" w:rsidRDefault="00D44AA5">
      <w:pPr>
        <w:pStyle w:val="Header"/>
        <w:tabs>
          <w:tab w:val="clear" w:pos="4536"/>
          <w:tab w:val="left" w:pos="1843"/>
        </w:tabs>
        <w:ind w:left="1560" w:hanging="1560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  <w:t xml:space="preserve">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OPPO</w:t>
      </w:r>
    </w:p>
    <w:p w:rsidR="00C65F4B" w:rsidRDefault="00D44AA5" w:rsidP="00DA1D18">
      <w:pPr>
        <w:pStyle w:val="Header"/>
        <w:tabs>
          <w:tab w:val="clear" w:pos="4536"/>
        </w:tabs>
        <w:ind w:left="1699" w:hangingChars="705" w:hanging="1699"/>
        <w:rPr>
          <w:rFonts w:ascii="Times New Roman" w:eastAsia="SimSun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>
        <w:rPr>
          <w:rFonts w:ascii="Times New Roman" w:eastAsia="SimSun" w:hAnsi="Times New Roman"/>
          <w:color w:val="000000" w:themeColor="text1"/>
          <w:sz w:val="24"/>
          <w:szCs w:val="22"/>
        </w:rPr>
        <w:t xml:space="preserve">Remaining issues in multi-carrier enhancement for NR </w:t>
      </w:r>
    </w:p>
    <w:p w:rsidR="00C65F4B" w:rsidRDefault="00D44AA5">
      <w:pPr>
        <w:pStyle w:val="Header"/>
        <w:tabs>
          <w:tab w:val="clear" w:pos="4536"/>
        </w:tabs>
        <w:ind w:left="1559" w:hangingChars="647" w:hanging="1559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Agenda Item:   8.8</w:t>
      </w:r>
    </w:p>
    <w:p w:rsidR="00C65F4B" w:rsidRDefault="00D44AA5">
      <w:pPr>
        <w:pStyle w:val="Header"/>
        <w:rPr>
          <w:rFonts w:ascii="Times New Roman" w:eastAsia="SimSu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Document for:  Discussio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n and Decision</w:t>
      </w:r>
    </w:p>
    <w:p w:rsidR="00C65F4B" w:rsidRDefault="00C65F4B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SimSun"/>
          <w:color w:val="000000" w:themeColor="text1"/>
          <w:lang w:eastAsia="zh-CN"/>
        </w:rPr>
      </w:pPr>
    </w:p>
    <w:p w:rsidR="00C65F4B" w:rsidRDefault="00D44AA5">
      <w:pPr>
        <w:pStyle w:val="Heading1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Introduction</w:t>
      </w:r>
    </w:p>
    <w:p w:rsidR="00C65F4B" w:rsidRDefault="00D44AA5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this document, we provide our views on the remaining issues for both aspects in Rel-18 multi-carrier enhancement:</w:t>
      </w:r>
    </w:p>
    <w:p w:rsidR="00C65F4B" w:rsidRDefault="00D44AA5">
      <w:pPr>
        <w:numPr>
          <w:ilvl w:val="0"/>
          <w:numId w:val="3"/>
        </w:numPr>
        <w:tabs>
          <w:tab w:val="clear" w:pos="420"/>
          <w:tab w:val="left" w:pos="880"/>
        </w:tabs>
        <w:spacing w:line="260" w:lineRule="auto"/>
        <w:ind w:left="878" w:hanging="418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Multi-cell PUSCH/PDSCH scheduling with a single DCI.</w:t>
      </w:r>
    </w:p>
    <w:p w:rsidR="00C65F4B" w:rsidRDefault="00D44AA5">
      <w:pPr>
        <w:numPr>
          <w:ilvl w:val="0"/>
          <w:numId w:val="3"/>
        </w:numPr>
        <w:tabs>
          <w:tab w:val="clear" w:pos="420"/>
          <w:tab w:val="left" w:pos="880"/>
        </w:tabs>
        <w:spacing w:line="260" w:lineRule="auto"/>
        <w:ind w:left="878" w:hanging="418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Uplink Tx switching.</w:t>
      </w:r>
    </w:p>
    <w:p w:rsidR="00C65F4B" w:rsidRDefault="00D44AA5">
      <w:pPr>
        <w:pStyle w:val="Heading1"/>
        <w:rPr>
          <w:lang w:eastAsia="zh-CN"/>
        </w:rPr>
      </w:pPr>
      <w:r>
        <w:rPr>
          <w:lang w:eastAsia="zh-CN"/>
        </w:rPr>
        <w:t>Remaining issues in multi-cell scheduling</w:t>
      </w:r>
    </w:p>
    <w:p w:rsidR="00C65F4B" w:rsidRDefault="00D44AA5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TP is proposed to handle the case where the OLPC parameter set indicator, as a Type-1a field, indicates an invalid value for a co-scheduled cell. </w:t>
      </w:r>
    </w:p>
    <w:tbl>
      <w:tblPr>
        <w:tblW w:w="9788" w:type="dxa"/>
        <w:tblInd w:w="43" w:type="dxa"/>
        <w:tblCellMar>
          <w:left w:w="42" w:type="dxa"/>
          <w:right w:w="42" w:type="dxa"/>
        </w:tblCellMar>
        <w:tblLook w:val="04A0"/>
      </w:tblPr>
      <w:tblGrid>
        <w:gridCol w:w="1822"/>
        <w:gridCol w:w="7966"/>
      </w:tblGrid>
      <w:tr w:rsidR="00C65F4B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Reason for change: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F4B" w:rsidRDefault="00D44AA5">
            <w:pPr>
              <w:spacing w:before="120" w:line="259" w:lineRule="auto"/>
              <w:jc w:val="left"/>
              <w:rPr>
                <w:rFonts w:eastAsia="Batang"/>
                <w:iCs/>
                <w:sz w:val="20"/>
                <w:szCs w:val="20"/>
                <w:lang w:eastAsia="zh-CN"/>
              </w:rPr>
            </w:pPr>
            <w:r>
              <w:rPr>
                <w:rFonts w:eastAsia="Batang"/>
                <w:iCs/>
                <w:sz w:val="20"/>
                <w:szCs w:val="20"/>
                <w:lang w:eastAsia="zh-CN"/>
              </w:rPr>
              <w:t xml:space="preserve">For the OLPC parameter set indicator, defined as Type 1a field, the bit-width of the field can be up to </w:t>
            </w:r>
            <m:oMath>
              <m:func>
                <m:funcPr>
                  <m:ctrlPr>
                    <w:rPr>
                      <w:rFonts w:ascii="DejaVu Math TeX Gyre" w:hAnsi="DejaVu Math TeX Gyre"/>
                      <w:sz w:val="20"/>
                      <w:szCs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max</m:t>
                      </m:r>
                    </m:e>
                    <m:lim>
                      <m: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r∈{1,2,…,</m:t>
                      </m:r>
                      <m:sSubSup>
                        <m:sSubSupPr>
                          <m:ctrlPr>
                            <w:rPr>
                              <w:rFonts w:ascii="DejaVu Math TeX Gyre" w:hAnsi="DejaVu Math TeX Gyre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DejaVu Math TeX Gyre" w:hAnsi="DejaVu Math TeX Gyre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DejaVu Math TeX Gyre" w:hAnsi="DejaVu Math TeX Gyre"/>
                              <w:sz w:val="20"/>
                              <w:szCs w:val="20"/>
                            </w:rPr>
                            <m:t>cell</m:t>
                          </m:r>
                        </m:sub>
                        <m:sup>
                          <m:r>
                            <w:rPr>
                              <w:rFonts w:ascii="DejaVu Math TeX Gyre" w:hAnsi="DejaVu Math TeX Gyre"/>
                              <w:sz w:val="20"/>
                              <w:szCs w:val="20"/>
                            </w:rPr>
                            <m:t>UL,2</m:t>
                          </m:r>
                        </m:sup>
                      </m:sSubSup>
                      <m: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}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DejaVu Math TeX Gyre" w:hAnsi="DejaVu Math TeX Gyre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o</m:t>
                      </m:r>
                    </m:sub>
                  </m:sSub>
                  <m:d>
                    <m:dPr>
                      <m:ctrlPr>
                        <w:rPr>
                          <w:rFonts w:ascii="DejaVu Math TeX Gyre" w:hAnsi="DejaVu Math TeX Gyre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DejaVu Math TeX Gyre" w:hAnsi="DejaVu Math TeX Gyre"/>
                          <w:sz w:val="20"/>
                          <w:szCs w:val="20"/>
                        </w:rPr>
                        <m:t>r</m:t>
                      </m:r>
                    </m:e>
                  </m:d>
                </m:e>
              </m:func>
            </m:oMath>
            <w:r>
              <w:rPr>
                <w:sz w:val="20"/>
                <w:szCs w:val="20"/>
              </w:rPr>
              <w:t xml:space="preserve">, while the acceptable value for a specific co-scheduled cell </w:t>
            </w:r>
            <w:r>
              <w:rPr>
                <w:i/>
                <w:i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fits within </w:t>
            </w:r>
            <m:oMath>
              <m:sSub>
                <m:sSub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r</m:t>
                  </m:r>
                </m:e>
              </m:d>
            </m:oMath>
            <w:r>
              <w:rPr>
                <w:sz w:val="20"/>
                <w:szCs w:val="20"/>
              </w:rPr>
              <w:t xml:space="preserve"> bits. Then, the current specification misses a case where the DCI field indicates a value requiring more than </w:t>
            </w:r>
            <m:oMath>
              <m:sSub>
                <m:sSub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r</m:t>
                  </m:r>
                </m:e>
              </m:d>
            </m:oMath>
            <w:r>
              <w:rPr>
                <w:sz w:val="20"/>
                <w:szCs w:val="20"/>
              </w:rPr>
              <w:t xml:space="preserve"> bits for the co-scheduled cell </w:t>
            </w:r>
            <w:r>
              <w:rPr>
                <w:i/>
                <w:i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that satisfies </w:t>
            </w:r>
            <m:oMath>
              <m:sSub>
                <m:sSub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DejaVu Math TeX Gyre" w:hAnsi="DejaVu Math TeX Gyre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DejaVu Math TeX Gyre" w:hAnsi="DejaVu Math TeX Gyre"/>
                      <w:sz w:val="20"/>
                      <w:szCs w:val="20"/>
                    </w:rPr>
                    <m:t>r</m:t>
                  </m:r>
                </m:e>
              </m:d>
              <m:r>
                <w:rPr>
                  <w:rFonts w:ascii="DejaVu Math TeX Gyre" w:hAnsi="DejaVu Math TeX Gyre"/>
                  <w:sz w:val="20"/>
                  <w:szCs w:val="20"/>
                </w:rPr>
                <m:t>&gt;0</m:t>
              </m:r>
            </m:oMath>
            <w:r>
              <w:rPr>
                <w:sz w:val="20"/>
                <w:szCs w:val="20"/>
              </w:rPr>
              <w:t xml:space="preserve">. Such an indicated value that is legit for the Type-1a field but larger than what a co-scheduled cell can accept is an invalid code-point. </w:t>
            </w:r>
            <w:r>
              <w:rPr>
                <w:rFonts w:eastAsia="Batang"/>
                <w:iCs/>
                <w:sz w:val="20"/>
                <w:szCs w:val="20"/>
                <w:lang w:eastAsia="zh-CN"/>
              </w:rPr>
              <w:t xml:space="preserve">When an invalid code-point indication occurs, the indication should be ignored, and P0 can be determined by p0-PUSCH-Alpha or p0-PUSCH-Alpha2 but not P0-PUSCH-Set, which is the existing UE behavior under either of the following conditions (ref. section 7.1.1 in TS38.213):  </w:t>
            </w:r>
          </w:p>
          <w:p w:rsidR="00C65F4B" w:rsidRDefault="00D44AA5">
            <w:pPr>
              <w:numPr>
                <w:ilvl w:val="0"/>
                <w:numId w:val="4"/>
              </w:numPr>
              <w:spacing w:before="120" w:line="259" w:lineRule="auto"/>
              <w:jc w:val="left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  <w:t xml:space="preserve">Condition-1: </w:t>
            </w:r>
            <w:r>
              <w:rPr>
                <w:i/>
                <w:sz w:val="20"/>
                <w:szCs w:val="20"/>
                <w:lang w:eastAsia="zh-CN"/>
              </w:rPr>
              <w:t xml:space="preserve">p0-PUSCH-SetList </w:t>
            </w:r>
            <w:r>
              <w:rPr>
                <w:sz w:val="20"/>
                <w:szCs w:val="20"/>
                <w:lang w:eastAsia="zh-CN"/>
              </w:rPr>
              <w:t>is not configured for the cell</w:t>
            </w:r>
            <w:r>
              <w:rPr>
                <w:rFonts w:eastAsia="Batang"/>
                <w:iCs/>
                <w:sz w:val="20"/>
                <w:szCs w:val="20"/>
                <w:lang w:eastAsia="zh-CN"/>
              </w:rPr>
              <w:t>.</w:t>
            </w:r>
          </w:p>
          <w:p w:rsidR="00C65F4B" w:rsidRDefault="00D44AA5">
            <w:pPr>
              <w:numPr>
                <w:ilvl w:val="0"/>
                <w:numId w:val="4"/>
              </w:numPr>
              <w:spacing w:before="120" w:line="259" w:lineRule="auto"/>
              <w:jc w:val="left"/>
              <w:rPr>
                <w:rFonts w:ascii="Times" w:eastAsiaTheme="minorEastAsia" w:hAnsi="Times"/>
                <w:iCs/>
                <w:sz w:val="20"/>
                <w:szCs w:val="20"/>
                <w:lang w:eastAsia="zh-CN"/>
              </w:rPr>
            </w:pPr>
            <w:r>
              <w:rPr>
                <w:rFonts w:eastAsia="Batang"/>
                <w:iCs/>
                <w:sz w:val="20"/>
                <w:szCs w:val="20"/>
                <w:lang w:eastAsia="zh-CN"/>
              </w:rPr>
              <w:t xml:space="preserve">Condition-2: The corresponding DCI does not include an OLPC parameter set indication field. </w:t>
            </w:r>
          </w:p>
          <w:p w:rsidR="00C65F4B" w:rsidRDefault="00D44AA5">
            <w:pPr>
              <w:spacing w:before="120" w:line="259" w:lineRule="auto"/>
              <w:jc w:val="left"/>
              <w:rPr>
                <w:rFonts w:ascii="Times" w:eastAsiaTheme="minorEastAsia" w:hAnsi="Times"/>
                <w:iCs/>
                <w:sz w:val="20"/>
                <w:szCs w:val="20"/>
                <w:lang w:eastAsia="zh-CN"/>
              </w:rPr>
            </w:pPr>
            <w:r>
              <w:rPr>
                <w:rFonts w:eastAsia="Batang"/>
                <w:iCs/>
                <w:sz w:val="20"/>
                <w:szCs w:val="20"/>
                <w:lang w:eastAsia="zh-CN"/>
              </w:rPr>
              <w:t xml:space="preserve">It is preferable to mimic Condition-2 for the UE behavior in case the invalid code-point occurs.   </w:t>
            </w:r>
          </w:p>
        </w:tc>
      </w:tr>
      <w:tr w:rsidR="00C65F4B">
        <w:trPr>
          <w:trHeight w:hRule="exact" w:val="72"/>
        </w:trPr>
        <w:tc>
          <w:tcPr>
            <w:tcW w:w="0" w:type="auto"/>
            <w:tcBorders>
              <w:lef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sz w:val="20"/>
                <w:szCs w:val="20"/>
                <w:lang w:val="en-GB" w:eastAsia="ko-KR"/>
              </w:rPr>
            </w:pPr>
          </w:p>
        </w:tc>
      </w:tr>
      <w:tr w:rsidR="00C65F4B"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Summary of change: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pct30" w:color="FFFF00" w:fill="auto"/>
          </w:tcPr>
          <w:p w:rsidR="00C65F4B" w:rsidRDefault="00D44AA5">
            <w:pPr>
              <w:pStyle w:val="CRCoverPage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Add a text description in TS38.212 for the case an invalid code-point is indicated in OLPC parameter set indication field for a co-scheduled cell: In such a case, the existing UE behavior is followed as if the DCI does not include </w:t>
            </w:r>
            <w:r>
              <w:rPr>
                <w:rFonts w:ascii="Times New Roman" w:eastAsia="Batang" w:hAnsi="Times New Roman"/>
                <w:iCs/>
                <w:lang w:val="en-US" w:eastAsia="zh-CN"/>
              </w:rPr>
              <w:t>OLPC</w:t>
            </w:r>
            <w:r>
              <w:rPr>
                <w:rFonts w:ascii="Times New Roman" w:eastAsia="Batang" w:hAnsi="Times New Roman"/>
                <w:iCs/>
                <w:lang w:eastAsia="zh-CN"/>
              </w:rPr>
              <w:t xml:space="preserve"> parameter </w:t>
            </w:r>
            <w:r>
              <w:rPr>
                <w:rFonts w:ascii="Times New Roman" w:eastAsia="Batang" w:hAnsi="Times New Roman"/>
                <w:iCs/>
                <w:lang w:val="en-US" w:eastAsia="zh-CN"/>
              </w:rPr>
              <w:t xml:space="preserve">set </w:t>
            </w:r>
            <w:r>
              <w:rPr>
                <w:rFonts w:ascii="Times New Roman" w:eastAsia="Batang" w:hAnsi="Times New Roman"/>
                <w:iCs/>
                <w:lang w:eastAsia="zh-CN"/>
              </w:rPr>
              <w:t>indic</w:t>
            </w:r>
            <w:r>
              <w:rPr>
                <w:rFonts w:ascii="Times New Roman" w:eastAsia="Batang" w:hAnsi="Times New Roman"/>
                <w:iCs/>
                <w:lang w:val="en-US" w:eastAsia="zh-CN"/>
              </w:rPr>
              <w:t xml:space="preserve">ation field for the scheduled </w:t>
            </w:r>
            <w:r>
              <w:rPr>
                <w:rFonts w:ascii="Times New Roman" w:eastAsia="Batang" w:hAnsi="Times New Roman"/>
                <w:iCs/>
                <w:lang w:val="en-US" w:eastAsia="zh-CN"/>
              </w:rPr>
              <w:lastRenderedPageBreak/>
              <w:t xml:space="preserve">cell. </w:t>
            </w:r>
          </w:p>
        </w:tc>
      </w:tr>
      <w:tr w:rsidR="00C65F4B">
        <w:trPr>
          <w:trHeight w:hRule="exact" w:val="72"/>
        </w:trPr>
        <w:tc>
          <w:tcPr>
            <w:tcW w:w="0" w:type="auto"/>
            <w:tcBorders>
              <w:left w:val="single" w:sz="4" w:space="0" w:color="auto"/>
            </w:tcBorders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65F4B" w:rsidRDefault="00C65F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F4B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Consequences if not approved: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F4B" w:rsidRPr="00DA1D18" w:rsidRDefault="00D44AA5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UE behavior is undefined in case the OLPC parameter set indication field indicates an</w:t>
            </w:r>
            <w:r w:rsidR="00DA1D18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invalid code-point for a co-scheduled cell.</w:t>
            </w:r>
          </w:p>
        </w:tc>
      </w:tr>
      <w:tr w:rsidR="00C65F4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F4B" w:rsidRDefault="00D44AA5">
            <w:pPr>
              <w:pStyle w:val="Heading3"/>
              <w:numPr>
                <w:ilvl w:val="0"/>
                <w:numId w:val="0"/>
              </w:numPr>
              <w:spacing w:before="120" w:after="120" w:line="260" w:lineRule="auto"/>
              <w:ind w:left="907" w:hanging="907"/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</w:pPr>
            <w:r>
              <w:t>7.3.1.1.4</w:t>
            </w:r>
            <w:r>
              <w:tab/>
              <w:t>Format 0_3</w:t>
            </w:r>
          </w:p>
          <w:p w:rsidR="00C65F4B" w:rsidRDefault="00D44AA5">
            <w:pPr>
              <w:spacing w:line="240" w:lineRule="auto"/>
              <w:jc w:val="center"/>
            </w:pPr>
            <w:r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  <w:t>************** Unchanged parts omitted**************</w:t>
            </w:r>
          </w:p>
          <w:p w:rsidR="00C65F4B" w:rsidRDefault="00C65F4B">
            <w:pPr>
              <w:rPr>
                <w:rFonts w:eastAsiaTheme="minorEastAsia"/>
                <w:lang w:eastAsia="zh-CN"/>
              </w:rPr>
            </w:pPr>
          </w:p>
          <w:p w:rsidR="00C65F4B" w:rsidRDefault="00D44AA5">
            <w:pPr>
              <w:pStyle w:val="B1"/>
              <w:ind w:left="400" w:hanging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Open-loop power control parameter set indication</w:t>
            </w:r>
            <w:r>
              <w:t xml:space="preserve"> - 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r∈{1,2,…,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cell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UL,2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}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applying to the scheduled cells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  <m:r>
                <w:rPr>
                  <w:rFonts w:ascii="Cambria Math" w:hAnsi="Cambria Math"/>
                </w:rPr>
                <m:t>&gt;0</m:t>
              </m:r>
            </m:oMath>
            <w:r>
              <w:rPr>
                <w:lang w:eastAsia="zh-CN"/>
              </w:rPr>
              <w:t xml:space="preserve"> independently, where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rPr>
                <w:lang w:eastAsia="zh-CN"/>
              </w:rPr>
              <w:t xml:space="preserve"> is mapped to the cells according to an ascending order of a serving cell index with </w:t>
            </w:r>
            <m:oMath>
              <m:r>
                <w:rPr>
                  <w:rFonts w:ascii="Cambria Math" w:hAnsi="Cambria Math"/>
                </w:rPr>
                <m:t>r=1</m:t>
              </m:r>
            </m:oMath>
            <w:r>
              <w:rPr>
                <w:lang w:eastAsia="zh-CN"/>
              </w:rPr>
              <w:t xml:space="preserve"> corresponding to the cell with the smallest serving cell index,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>
              <w:rPr>
                <w:lang w:eastAsia="zh-CN"/>
              </w:rPr>
              <w:t xml:space="preserve"> is defined by the following:</w:t>
            </w:r>
          </w:p>
          <w:p w:rsidR="00C65F4B" w:rsidRDefault="00D44A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0 bit if the higher layer parameter </w:t>
            </w:r>
            <w:r>
              <w:rPr>
                <w:i/>
                <w:lang w:eastAsia="zh-CN"/>
              </w:rPr>
              <w:t xml:space="preserve">p0-PUSCH-SetList </w:t>
            </w:r>
            <w:r>
              <w:rPr>
                <w:lang w:eastAsia="zh-CN"/>
              </w:rPr>
              <w:t>is not configured</w:t>
            </w:r>
            <w:r>
              <w:rPr>
                <w:rFonts w:hint="eastAsia"/>
                <w:lang w:eastAsia="zh-CN"/>
              </w:rPr>
              <w:t>;</w:t>
            </w:r>
          </w:p>
          <w:p w:rsidR="00C65F4B" w:rsidRDefault="00D44A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1 or 2 bits otherwise,</w:t>
            </w:r>
          </w:p>
          <w:p w:rsidR="00C65F4B" w:rsidRDefault="00D44AA5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1 bit if </w:t>
            </w:r>
            <w:r>
              <w:rPr>
                <w:rFonts w:hint="eastAsia"/>
                <w:lang w:eastAsia="zh-CN"/>
              </w:rPr>
              <w:t>SRS resource indicator</w:t>
            </w:r>
            <w:r>
              <w:rPr>
                <w:lang w:eastAsia="zh-CN"/>
              </w:rPr>
              <w:t xml:space="preserve"> is present in the DCI format 0_3;</w:t>
            </w:r>
          </w:p>
          <w:p w:rsidR="00C65F4B" w:rsidRDefault="00D44AA5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1 or 2 bits as determined by higher layer parameter </w:t>
            </w:r>
            <w:r>
              <w:rPr>
                <w:i/>
              </w:rPr>
              <w:t>olpc-ParameterSetDCI-0-1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rFonts w:hint="eastAsia"/>
                <w:lang w:eastAsia="zh-CN"/>
              </w:rPr>
              <w:t>SRS resource indicator</w:t>
            </w:r>
            <w:r>
              <w:rPr>
                <w:lang w:eastAsia="zh-CN"/>
              </w:rPr>
              <w:t xml:space="preserve"> is not present in the DCI format 0_3.</w:t>
            </w:r>
          </w:p>
          <w:p w:rsidR="00C65F4B" w:rsidRDefault="00D44AA5">
            <w:pPr>
              <w:ind w:leftChars="216" w:left="475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>If a DCI format 0_3 indicates a code point in this field that does not correspond to a</w:t>
            </w:r>
            <w:r>
              <w:rPr>
                <w:i/>
                <w:color w:val="FF0000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configured </w:t>
            </w:r>
            <w:r>
              <w:rPr>
                <w:i/>
                <w:color w:val="FF0000"/>
                <w:sz w:val="20"/>
                <w:szCs w:val="20"/>
                <w:u w:val="single"/>
                <w:lang w:eastAsia="zh-CN"/>
              </w:rPr>
              <w:t>p0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 in </w:t>
            </w:r>
            <w:r>
              <w:rPr>
                <w:i/>
                <w:color w:val="FF0000"/>
                <w:sz w:val="20"/>
                <w:szCs w:val="20"/>
                <w:u w:val="single"/>
                <w:lang w:eastAsia="zh-CN"/>
              </w:rPr>
              <w:t>p0-PUSCH-SetList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 of a scheduled cell, the uplink power control defined in Clause 7.1.1 of </w:t>
            </w:r>
            <w:r>
              <w:rPr>
                <w:rFonts w:hint="eastAsia"/>
                <w:color w:val="FF0000"/>
                <w:sz w:val="20"/>
                <w:szCs w:val="20"/>
                <w:u w:val="single"/>
                <w:lang w:eastAsia="zh-CN"/>
              </w:rPr>
              <w:t>[5, TS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0"/>
                <w:szCs w:val="20"/>
                <w:u w:val="single"/>
                <w:lang w:eastAsia="zh-CN"/>
              </w:rPr>
              <w:t>38.213]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iCs/>
                <w:color w:val="FF0000"/>
                <w:sz w:val="20"/>
                <w:szCs w:val="20"/>
                <w:u w:val="single"/>
              </w:rPr>
              <w:t xml:space="preserve">for the scheduled cell 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 xml:space="preserve">assumes the DCI format does not include </w:t>
            </w:r>
            <w:r>
              <w:rPr>
                <w:color w:val="FF0000"/>
                <w:sz w:val="20"/>
                <w:szCs w:val="20"/>
                <w:u w:val="single"/>
              </w:rPr>
              <w:t xml:space="preserve">an </w:t>
            </w:r>
            <w:r>
              <w:rPr>
                <w:color w:val="FF0000"/>
                <w:sz w:val="20"/>
                <w:szCs w:val="20"/>
                <w:u w:val="single"/>
                <w:lang w:eastAsia="zh-CN"/>
              </w:rPr>
              <w:t>open-loop power control parameter set indication</w:t>
            </w:r>
            <w:r>
              <w:rPr>
                <w:iCs/>
                <w:color w:val="FF0000"/>
                <w:sz w:val="20"/>
                <w:szCs w:val="20"/>
                <w:u w:val="single"/>
              </w:rPr>
              <w:t xml:space="preserve"> field</w:t>
            </w:r>
            <w:r>
              <w:rPr>
                <w:i/>
                <w:color w:val="FF0000"/>
                <w:sz w:val="20"/>
                <w:szCs w:val="20"/>
                <w:u w:val="single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C65F4B" w:rsidRDefault="00D44AA5">
            <w:pPr>
              <w:spacing w:line="259" w:lineRule="auto"/>
              <w:jc w:val="center"/>
              <w:rPr>
                <w:rFonts w:ascii="Arial" w:eastAsia="SimSun" w:hAnsi="Arial"/>
                <w:sz w:val="20"/>
                <w:szCs w:val="20"/>
              </w:rPr>
            </w:pPr>
            <w:r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  <w:t>************** Unchanged parts omitted**************</w:t>
            </w:r>
          </w:p>
        </w:tc>
      </w:tr>
    </w:tbl>
    <w:p w:rsidR="00C65F4B" w:rsidRDefault="00C65F4B">
      <w:pPr>
        <w:rPr>
          <w:rFonts w:eastAsiaTheme="minorEastAsia"/>
          <w:lang w:eastAsia="zh-CN"/>
        </w:rPr>
      </w:pPr>
    </w:p>
    <w:p w:rsidR="005D3751" w:rsidRDefault="005D375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issue </w:t>
      </w:r>
      <w:r w:rsidR="00D44AA5">
        <w:rPr>
          <w:rFonts w:eastAsiaTheme="minorEastAsia"/>
          <w:lang w:eastAsia="zh-CN"/>
        </w:rPr>
        <w:t>relating to invalid code-point of Type-1a field</w:t>
      </w:r>
      <w:r>
        <w:rPr>
          <w:rFonts w:eastAsiaTheme="minorEastAsia"/>
          <w:lang w:eastAsia="zh-CN"/>
        </w:rPr>
        <w:t xml:space="preserve"> comes from the following RAN1 #115 agreement</w:t>
      </w:r>
      <w:r w:rsidR="00617AFD">
        <w:rPr>
          <w:rFonts w:eastAsiaTheme="minorEastAsia"/>
          <w:lang w:eastAsia="zh-CN"/>
        </w:rPr>
        <w:t>, which was commented after RAN1 #115 to be implemented in RAN2 specification</w:t>
      </w:r>
      <w:r>
        <w:rPr>
          <w:rFonts w:eastAsiaTheme="minorEastAsia"/>
          <w:lang w:eastAsia="zh-CN"/>
        </w:rPr>
        <w:t xml:space="preserve">: </w:t>
      </w:r>
    </w:p>
    <w:tbl>
      <w:tblPr>
        <w:tblStyle w:val="TableGrid"/>
        <w:tblW w:w="0" w:type="auto"/>
        <w:tblLook w:val="04A0"/>
      </w:tblPr>
      <w:tblGrid>
        <w:gridCol w:w="9962"/>
      </w:tblGrid>
      <w:tr w:rsidR="005D3751" w:rsidTr="005D3751">
        <w:tc>
          <w:tcPr>
            <w:tcW w:w="9962" w:type="dxa"/>
          </w:tcPr>
          <w:p w:rsidR="00D44AA5" w:rsidRPr="00D44AA5" w:rsidRDefault="00D44AA5" w:rsidP="00D44AA5">
            <w:pPr>
              <w:spacing w:after="0" w:line="240" w:lineRule="auto"/>
              <w:rPr>
                <w:rFonts w:ascii="Times" w:eastAsia="Batang" w:hAnsi="Times"/>
                <w:b/>
                <w:bCs/>
                <w:sz w:val="18"/>
                <w:szCs w:val="18"/>
                <w:highlight w:val="green"/>
              </w:rPr>
            </w:pPr>
            <w:r w:rsidRPr="00D44AA5">
              <w:rPr>
                <w:b/>
                <w:bCs/>
                <w:sz w:val="18"/>
                <w:szCs w:val="18"/>
                <w:highlight w:val="green"/>
              </w:rPr>
              <w:t>Agreement</w:t>
            </w:r>
          </w:p>
          <w:p w:rsidR="00D44AA5" w:rsidRPr="00D44AA5" w:rsidRDefault="00D44AA5" w:rsidP="00D44AA5">
            <w:pPr>
              <w:numPr>
                <w:ilvl w:val="0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  <w:sz w:val="18"/>
                <w:szCs w:val="18"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When Antenna port(s) field in DCI format 1_3 is configured as type1a, UE expects to be configured with a common table from Tables 7.3.1.2.2-1/2/3/4 in TS38.212 is used for all cells in set of cells.</w:t>
            </w:r>
          </w:p>
          <w:p w:rsidR="00D44AA5" w:rsidRPr="00D44AA5" w:rsidRDefault="00D44AA5" w:rsidP="00D44AA5">
            <w:pPr>
              <w:numPr>
                <w:ilvl w:val="1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  <w:sz w:val="18"/>
                <w:szCs w:val="18"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The DMRS mapping type should be the same across the cells in set of cells</w:t>
            </w:r>
          </w:p>
          <w:p w:rsidR="00D44AA5" w:rsidRPr="00D44AA5" w:rsidRDefault="00D44AA5" w:rsidP="00D44AA5">
            <w:pPr>
              <w:numPr>
                <w:ilvl w:val="0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  <w:sz w:val="18"/>
                <w:szCs w:val="18"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When Antenna port(s) field in DCI format 0_3 is configured as type1a, UE expects to be configured with a common table from Tables 7.3.1.1.2-6, 7.3.1.1.2-6A, 7.3.1.1.2-7, 7.3.1.1.2-7A, 7.3.1.1.2-8, 7.3.1.1.2-9, 7.3.1.1.2-10, 7.3.1.1.2-11, 7.3.1.1.2-12, 7.3.1.1.2-13, 7.3.1.1.2-14, 7.3.1.1.2-15, 7.3.1.1.2-16, 7.3.1.1.2-17, 7.3.1.1.2-18, 7.3.1.1.2-19, 7.3.1.1.2-20, 7.3.1.1.2-21, 7.3.1.1.2-22, 7.3.1.1.2-23, 7.3.1.1.2-24, and 7.3.1.1.2-25 in TS38.212 is used for all cells in set of cells.</w:t>
            </w:r>
          </w:p>
          <w:p w:rsidR="00D44AA5" w:rsidRPr="00D44AA5" w:rsidRDefault="00D44AA5" w:rsidP="00D44AA5">
            <w:pPr>
              <w:numPr>
                <w:ilvl w:val="1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  <w:sz w:val="18"/>
                <w:szCs w:val="18"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The DMRS mapping type should be the same across the cells in set of cells</w:t>
            </w:r>
          </w:p>
          <w:p w:rsidR="00D44AA5" w:rsidRPr="00D44AA5" w:rsidRDefault="00D44AA5" w:rsidP="00D44AA5">
            <w:pPr>
              <w:numPr>
                <w:ilvl w:val="0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  <w:sz w:val="18"/>
                <w:szCs w:val="18"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When TPMI field in DCI format 0_3 is configured as type1a, UE expects to be configured with a common table from Tables 7.3.1.1.2-2, 7.3.1.1.2-2A, 7.3.1.1.2-B, 7.3.1.1.2-3, 7.3.1.1.2-3A, 7.3.1.1.2-4, 7.3.1.1.2-4A, 7.3.1.1.2-5, and 7.3.1.1.2-5A in TS38.212 is used for all cells in set of cells.</w:t>
            </w:r>
          </w:p>
          <w:p w:rsidR="005D3751" w:rsidRPr="00D44AA5" w:rsidRDefault="00D44AA5" w:rsidP="00D44AA5">
            <w:pPr>
              <w:numPr>
                <w:ilvl w:val="0"/>
                <w:numId w:val="7"/>
              </w:numPr>
              <w:overflowPunct w:val="0"/>
              <w:snapToGrid w:val="0"/>
              <w:spacing w:after="0" w:line="240" w:lineRule="auto"/>
              <w:jc w:val="left"/>
              <w:rPr>
                <w:rFonts w:eastAsia="Malgun Gothic"/>
                <w:bCs/>
              </w:rPr>
            </w:pPr>
            <w:r w:rsidRPr="00D44AA5">
              <w:rPr>
                <w:rFonts w:eastAsia="Malgun Gothic"/>
                <w:bCs/>
                <w:sz w:val="18"/>
                <w:szCs w:val="18"/>
              </w:rPr>
              <w:t>When SRI field in DCI format 0_3 is configured as type1a, UE expects to be configured with a common table from Tables 7.3.1.1.2-28, 7.3.1.1.2-29, 7.3.1.1.2-30, 7.3.1.1.2-31, 7.3.1.1.2-32, 7.3.1.1.2-32A, and 7.3.1.1.2-32B in TS38.212 is used for all cells in set of cells.</w:t>
            </w:r>
            <w:r>
              <w:rPr>
                <w:rFonts w:eastAsia="Malgun Gothic"/>
                <w:bCs/>
              </w:rPr>
              <w:t xml:space="preserve"> </w:t>
            </w:r>
          </w:p>
        </w:tc>
      </w:tr>
    </w:tbl>
    <w:p w:rsidR="005D3751" w:rsidRDefault="005D3751">
      <w:pPr>
        <w:rPr>
          <w:rFonts w:eastAsiaTheme="minorEastAsia"/>
          <w:lang w:eastAsia="zh-CN"/>
        </w:rPr>
      </w:pPr>
    </w:p>
    <w:p w:rsidR="00820FCC" w:rsidRDefault="00D44A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intention of the above agreement is to avoid invalid code-points in the indication of these DCI field</w:t>
      </w:r>
      <w:r w:rsidR="00E01E3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(when indicated as Type-1a)</w:t>
      </w:r>
      <w:r w:rsidR="00E01E3B">
        <w:rPr>
          <w:rFonts w:eastAsiaTheme="minorEastAsia"/>
          <w:lang w:eastAsia="zh-CN"/>
        </w:rPr>
        <w:t xml:space="preserve"> for any co-scheduled cell. However, making all co-scheduled cells to </w:t>
      </w:r>
      <w:r w:rsidR="00696908">
        <w:rPr>
          <w:rFonts w:eastAsiaTheme="minorEastAsia"/>
          <w:lang w:eastAsia="zh-CN"/>
        </w:rPr>
        <w:t>use</w:t>
      </w:r>
      <w:r w:rsidR="00E01E3B">
        <w:rPr>
          <w:rFonts w:eastAsiaTheme="minorEastAsia"/>
          <w:lang w:eastAsia="zh-CN"/>
        </w:rPr>
        <w:t xml:space="preserve"> the common table only removes the invalid code-points due to “out of indication value ra</w:t>
      </w:r>
      <w:r w:rsidR="00696908">
        <w:rPr>
          <w:rFonts w:eastAsiaTheme="minorEastAsia"/>
          <w:lang w:eastAsia="zh-CN"/>
        </w:rPr>
        <w:t>n</w:t>
      </w:r>
      <w:r w:rsidR="00E01E3B">
        <w:rPr>
          <w:rFonts w:eastAsiaTheme="minorEastAsia"/>
          <w:lang w:eastAsia="zh-CN"/>
        </w:rPr>
        <w:t>ge for a cell”, but is not able to avoid the invalid code-points due to “pointing to a reserved</w:t>
      </w:r>
      <w:r w:rsidR="00653067">
        <w:rPr>
          <w:rFonts w:eastAsiaTheme="minorEastAsia"/>
          <w:lang w:eastAsia="zh-CN"/>
        </w:rPr>
        <w:t xml:space="preserve"> or undefined</w:t>
      </w:r>
      <w:r w:rsidR="00E01E3B">
        <w:rPr>
          <w:rFonts w:eastAsiaTheme="minorEastAsia"/>
          <w:lang w:eastAsia="zh-CN"/>
        </w:rPr>
        <w:t xml:space="preserve"> table</w:t>
      </w:r>
      <w:r w:rsidR="00696908">
        <w:rPr>
          <w:rFonts w:eastAsiaTheme="minorEastAsia"/>
          <w:lang w:eastAsia="zh-CN"/>
        </w:rPr>
        <w:t xml:space="preserve"> entry</w:t>
      </w:r>
      <w:r w:rsidR="00E01E3B">
        <w:rPr>
          <w:rFonts w:eastAsiaTheme="minorEastAsia"/>
          <w:lang w:eastAsia="zh-CN"/>
        </w:rPr>
        <w:t>” for a co-scheduled</w:t>
      </w:r>
      <w:r w:rsidR="00820FCC">
        <w:rPr>
          <w:rFonts w:eastAsiaTheme="minorEastAsia"/>
          <w:lang w:eastAsia="zh-CN"/>
        </w:rPr>
        <w:t xml:space="preserve"> cell. Such “reserved</w:t>
      </w:r>
      <w:r w:rsidR="00696908">
        <w:rPr>
          <w:rFonts w:eastAsiaTheme="minorEastAsia"/>
          <w:lang w:eastAsia="zh-CN"/>
        </w:rPr>
        <w:t>/undefined table entry</w:t>
      </w:r>
      <w:r w:rsidR="00820FCC">
        <w:rPr>
          <w:rFonts w:eastAsiaTheme="minorEastAsia"/>
          <w:lang w:eastAsia="zh-CN"/>
        </w:rPr>
        <w:t>” are quite populated among the tables listed in above RAN1 agreement, for example:</w:t>
      </w:r>
    </w:p>
    <w:p w:rsidR="00D93C57" w:rsidRDefault="00D93C57" w:rsidP="00E612F6">
      <w:pPr>
        <w:pStyle w:val="ListParagraph"/>
        <w:numPr>
          <w:ilvl w:val="0"/>
          <w:numId w:val="8"/>
        </w:numPr>
        <w:ind w:left="54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antenna port in DL DCI: At least Tables 7.3.1.2.2-2/3/4;</w:t>
      </w:r>
    </w:p>
    <w:p w:rsidR="00653067" w:rsidRDefault="00653067" w:rsidP="00E612F6">
      <w:pPr>
        <w:pStyle w:val="ListParagraph"/>
        <w:numPr>
          <w:ilvl w:val="0"/>
          <w:numId w:val="8"/>
        </w:numPr>
        <w:ind w:left="54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TPMI</w:t>
      </w:r>
      <w:r w:rsidR="00E612F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At least Tables 7.3.1.1.2-2/2A/2B/3/3A/4/5</w:t>
      </w:r>
      <w:r w:rsidR="00D93C57"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 xml:space="preserve">  </w:t>
      </w:r>
    </w:p>
    <w:p w:rsidR="00820FCC" w:rsidRPr="00E612F6" w:rsidRDefault="00653067" w:rsidP="00E612F6">
      <w:pPr>
        <w:pStyle w:val="ListParagraph"/>
        <w:numPr>
          <w:ilvl w:val="0"/>
          <w:numId w:val="8"/>
        </w:numPr>
        <w:ind w:left="54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SRI</w:t>
      </w:r>
      <w:r w:rsidR="005F6C69">
        <w:rPr>
          <w:rFonts w:eastAsiaTheme="minorEastAsia"/>
          <w:lang w:eastAsia="zh-CN"/>
        </w:rPr>
        <w:t>: At least Tables 7.3.1.1.2-28(copied below)/29/30/31</w:t>
      </w:r>
      <w:r w:rsidR="00D93C57">
        <w:rPr>
          <w:rFonts w:eastAsiaTheme="minorEastAsia"/>
          <w:lang w:eastAsia="zh-CN"/>
        </w:rPr>
        <w:t xml:space="preserve">. </w:t>
      </w:r>
      <w:r w:rsidR="00E612F6">
        <w:rPr>
          <w:rFonts w:eastAsiaTheme="minorEastAsia"/>
          <w:lang w:eastAsia="zh-CN"/>
        </w:rPr>
        <w:t xml:space="preserve"> </w:t>
      </w:r>
    </w:p>
    <w:p w:rsidR="00820FCC" w:rsidRPr="00820FCC" w:rsidRDefault="00820FCC" w:rsidP="00820FCC">
      <w:pPr>
        <w:pStyle w:val="TH"/>
        <w:snapToGrid w:val="0"/>
        <w:spacing w:before="0" w:after="0"/>
        <w:contextualSpacing/>
        <w:rPr>
          <w:rFonts w:ascii="Times New Roman" w:hAnsi="Times New Roman"/>
          <w:sz w:val="20"/>
          <w:szCs w:val="20"/>
        </w:rPr>
      </w:pPr>
      <w:r w:rsidRPr="00820FCC">
        <w:rPr>
          <w:rFonts w:ascii="Times New Roman" w:hAnsi="Times New Roman"/>
          <w:sz w:val="20"/>
          <w:szCs w:val="20"/>
        </w:rPr>
        <w:t>Table 7.3.1.1.2-28</w:t>
      </w:r>
      <w:r>
        <w:rPr>
          <w:rFonts w:ascii="Times New Roman" w:hAnsi="Times New Roman"/>
          <w:sz w:val="20"/>
          <w:szCs w:val="20"/>
        </w:rPr>
        <w:t xml:space="preserve"> in TS38.212 for</w:t>
      </w:r>
      <w:r w:rsidRPr="00820FCC">
        <w:rPr>
          <w:rFonts w:ascii="Times New Roman" w:hAnsi="Times New Roman"/>
          <w:sz w:val="20"/>
          <w:szCs w:val="20"/>
        </w:rPr>
        <w:t xml:space="preserve"> SRI indication </w: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284"/>
        <w:gridCol w:w="1862"/>
        <w:gridCol w:w="1398"/>
        <w:gridCol w:w="1762"/>
        <w:gridCol w:w="1444"/>
        <w:gridCol w:w="1843"/>
      </w:tblGrid>
      <w:tr w:rsidR="00820FCC" w:rsidRPr="00820FCC" w:rsidTr="00820FCC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Bit field mapped to index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 xml:space="preserve">SRI(s), 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20FC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SRS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=2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Bit field mapped to index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SRI(s),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20FC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SRS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Bit field mapped to 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20FCC" w:rsidRPr="00820FCC" w:rsidRDefault="00820FCC" w:rsidP="00820FCC">
            <w:pPr>
              <w:pStyle w:val="TAH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 xml:space="preserve">SRI(s), 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20FC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SRS</w:t>
            </w:r>
            <w:r w:rsidRPr="00820FCC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</w:tr>
      <w:tr w:rsidR="00820FCC" w:rsidRPr="00820FCC" w:rsidTr="00820FCC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20FCC" w:rsidRPr="00820FCC" w:rsidTr="00820FCC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20FCC" w:rsidRPr="00820FCC" w:rsidTr="00820FCC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20FCC" w:rsidRPr="00820FCC" w:rsidTr="00820FCC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20FC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20FCC">
              <w:rPr>
                <w:rFonts w:ascii="Times New Roman" w:hAnsi="Times New Roman"/>
                <w:b/>
                <w:sz w:val="20"/>
                <w:szCs w:val="20"/>
              </w:rPr>
              <w:t>reserved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CC" w:rsidRPr="00820FCC" w:rsidRDefault="00820FCC" w:rsidP="00820FCC">
            <w:pPr>
              <w:pStyle w:val="TAC"/>
              <w:snapToGrid w:val="0"/>
              <w:spacing w:before="0" w:before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0F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820FCC" w:rsidRDefault="00D93C57" w:rsidP="00820FCC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should be noted that RAN1 should avoid re-defining UE behaviors upon these invalid code-points, because the specification is not supposed to do so on “reser</w:t>
      </w:r>
      <w:r w:rsidR="00696908">
        <w:rPr>
          <w:rFonts w:eastAsiaTheme="minorEastAsia"/>
          <w:lang w:eastAsia="zh-CN"/>
        </w:rPr>
        <w:t>ved” table entries. Then, the simple</w:t>
      </w:r>
      <w:r>
        <w:rPr>
          <w:rFonts w:eastAsiaTheme="minorEastAsia"/>
          <w:lang w:eastAsia="zh-CN"/>
        </w:rPr>
        <w:t xml:space="preserve"> fix to the RAN1 #115 agreement is to add a further restriction to avoid the DCI </w:t>
      </w:r>
      <w:r w:rsidR="00617AFD">
        <w:rPr>
          <w:rFonts w:eastAsiaTheme="minorEastAsia"/>
          <w:lang w:eastAsia="zh-CN"/>
        </w:rPr>
        <w:t xml:space="preserve">field indication corresponding to a </w:t>
      </w:r>
      <w:r>
        <w:rPr>
          <w:rFonts w:eastAsiaTheme="minorEastAsia"/>
          <w:lang w:eastAsia="zh-CN"/>
        </w:rPr>
        <w:t>reserved</w:t>
      </w:r>
      <w:r w:rsidR="00617AFD">
        <w:rPr>
          <w:rFonts w:eastAsiaTheme="minorEastAsia"/>
          <w:lang w:eastAsia="zh-CN"/>
        </w:rPr>
        <w:t xml:space="preserve">/undefined table </w:t>
      </w:r>
      <w:r w:rsidR="0036235F">
        <w:rPr>
          <w:rFonts w:eastAsiaTheme="minorEastAsia"/>
          <w:lang w:eastAsia="zh-CN"/>
        </w:rPr>
        <w:t xml:space="preserve">entry </w:t>
      </w:r>
      <w:r w:rsidR="00617AFD">
        <w:rPr>
          <w:rFonts w:eastAsiaTheme="minorEastAsia"/>
          <w:lang w:eastAsia="zh-CN"/>
        </w:rPr>
        <w:t>for a</w:t>
      </w:r>
      <w:r w:rsidR="0036235F">
        <w:rPr>
          <w:rFonts w:eastAsiaTheme="minorEastAsia"/>
          <w:lang w:eastAsia="zh-CN"/>
        </w:rPr>
        <w:t>ny</w:t>
      </w:r>
      <w:r w:rsidR="00617AFD">
        <w:rPr>
          <w:rFonts w:eastAsiaTheme="minorEastAsia"/>
          <w:lang w:eastAsia="zh-CN"/>
        </w:rPr>
        <w:t xml:space="preserve"> co-scheduled cell. </w:t>
      </w:r>
      <w:r>
        <w:rPr>
          <w:rFonts w:eastAsiaTheme="minorEastAsia"/>
          <w:lang w:eastAsia="zh-CN"/>
        </w:rPr>
        <w:t xml:space="preserve">      </w:t>
      </w:r>
    </w:p>
    <w:p w:rsidR="00617AFD" w:rsidRPr="00617AFD" w:rsidRDefault="00617AFD" w:rsidP="0036235F">
      <w:pPr>
        <w:spacing w:line="240" w:lineRule="auto"/>
        <w:rPr>
          <w:rFonts w:eastAsiaTheme="minorEastAsia"/>
          <w:b/>
          <w:i/>
          <w:lang w:eastAsia="zh-CN"/>
        </w:rPr>
      </w:pPr>
      <w:r w:rsidRPr="00617AFD">
        <w:rPr>
          <w:rFonts w:eastAsiaTheme="minorEastAsia"/>
          <w:b/>
          <w:i/>
          <w:lang w:eastAsia="zh-CN"/>
        </w:rPr>
        <w:t xml:space="preserve">Proposal 1: For RAN1 #115 agreement requesting “common table” configurations for DCI fields including antenna port, TPMI and SRI, </w:t>
      </w:r>
      <w:r w:rsidR="0036235F">
        <w:rPr>
          <w:rFonts w:eastAsiaTheme="minorEastAsia"/>
          <w:b/>
          <w:i/>
          <w:lang w:eastAsia="zh-CN"/>
        </w:rPr>
        <w:t xml:space="preserve">update the agreement by appending </w:t>
      </w:r>
      <w:r w:rsidRPr="00617AFD">
        <w:rPr>
          <w:rFonts w:eastAsiaTheme="minorEastAsia"/>
          <w:b/>
          <w:i/>
          <w:lang w:eastAsia="zh-CN"/>
        </w:rPr>
        <w:t xml:space="preserve">the following sub-bullet: </w:t>
      </w:r>
    </w:p>
    <w:p w:rsidR="00D44AA5" w:rsidRPr="00617AFD" w:rsidRDefault="00617AFD" w:rsidP="0036235F">
      <w:pPr>
        <w:pStyle w:val="ListParagraph"/>
        <w:numPr>
          <w:ilvl w:val="0"/>
          <w:numId w:val="9"/>
        </w:numPr>
        <w:spacing w:line="240" w:lineRule="auto"/>
        <w:ind w:firstLineChars="0"/>
        <w:rPr>
          <w:rFonts w:eastAsiaTheme="minorEastAsia"/>
          <w:b/>
          <w:i/>
          <w:lang w:eastAsia="zh-CN"/>
        </w:rPr>
      </w:pPr>
      <w:r w:rsidRPr="00617AFD">
        <w:rPr>
          <w:rFonts w:eastAsiaTheme="minorEastAsia"/>
          <w:b/>
          <w:i/>
          <w:lang w:eastAsia="zh-CN"/>
        </w:rPr>
        <w:t xml:space="preserve">UE does not expect the corresponding DCI field to indicate a reserved or undefined table entry for a co-scheduled cell. </w:t>
      </w:r>
    </w:p>
    <w:p w:rsidR="00C65F4B" w:rsidRDefault="00D44AA5">
      <w:pPr>
        <w:pStyle w:val="Heading1"/>
        <w:rPr>
          <w:lang w:eastAsia="zh-CN"/>
        </w:rPr>
      </w:pPr>
      <w:r>
        <w:rPr>
          <w:lang w:eastAsia="zh-CN"/>
        </w:rPr>
        <w:t>Remaining issues in uplink-Tx switching</w:t>
      </w:r>
    </w:p>
    <w:p w:rsidR="00C65F4B" w:rsidRDefault="00D44AA5">
      <w:pPr>
        <w:rPr>
          <w:lang w:eastAsia="zh-CN"/>
        </w:rPr>
      </w:pPr>
      <w:r>
        <w:rPr>
          <w:lang w:eastAsia="zh-CN"/>
        </w:rPr>
        <w:t xml:space="preserve">This discussion </w:t>
      </w:r>
      <w:bookmarkStart w:id="0" w:name="_GoBack"/>
      <w:bookmarkEnd w:id="0"/>
      <w:r>
        <w:rPr>
          <w:lang w:eastAsia="zh-CN"/>
        </w:rPr>
        <w:t>follows up the RAN1 #115 progress on ambiguity between one Tx switching and two Tx switching.</w:t>
      </w:r>
    </w:p>
    <w:tbl>
      <w:tblPr>
        <w:tblW w:w="9788" w:type="dxa"/>
        <w:tblInd w:w="43" w:type="dxa"/>
        <w:tblCellMar>
          <w:left w:w="42" w:type="dxa"/>
          <w:right w:w="42" w:type="dxa"/>
        </w:tblCellMar>
        <w:tblLook w:val="04A0"/>
      </w:tblPr>
      <w:tblGrid>
        <w:gridCol w:w="1832"/>
        <w:gridCol w:w="7956"/>
      </w:tblGrid>
      <w:tr w:rsidR="00C65F4B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Reason for change: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F4B" w:rsidRDefault="00D44AA5">
            <w:pPr>
              <w:spacing w:after="60" w:line="240" w:lineRule="auto"/>
              <w:jc w:val="left"/>
              <w:rPr>
                <w:rFonts w:eastAsia="Batang"/>
                <w:iCs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eastAsia="zh-CN"/>
              </w:rPr>
              <w:t xml:space="preserve">  </w:t>
            </w:r>
            <w:r>
              <w:rPr>
                <w:rFonts w:eastAsia="Batang"/>
                <w:iCs/>
                <w:sz w:val="20"/>
                <w:szCs w:val="20"/>
                <w:lang w:eastAsia="zh-CN"/>
              </w:rPr>
              <w:t>RAN1 #115 made the following agreement, with pending FFS on spec impacts:</w:t>
            </w:r>
          </w:p>
          <w:p w:rsidR="00C65F4B" w:rsidRDefault="00D44AA5">
            <w:pPr>
              <w:spacing w:after="60" w:line="240" w:lineRule="auto"/>
              <w:rPr>
                <w:rFonts w:eastAsia="SimSun"/>
                <w:b/>
                <w:bCs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C65F4B" w:rsidRDefault="00D44AA5">
            <w:pPr>
              <w:pStyle w:val="ListParagraph"/>
              <w:numPr>
                <w:ilvl w:val="0"/>
                <w:numId w:val="5"/>
              </w:numPr>
              <w:spacing w:after="60" w:line="240" w:lineRule="auto"/>
              <w:ind w:left="400" w:hangingChars="200" w:hanging="400"/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UL Tx switching, if an UL transmission with starting symbol at T0 is scheduled to a UE, the UE is not expected to be scheduled with another UL transmission overlapping with the first UL transmission in time and resulting in interruption on the first UL transmission by a DCI arriving later than T0-Toffset.</w:t>
            </w:r>
          </w:p>
          <w:p w:rsidR="00C65F4B" w:rsidRDefault="00D44AA5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Chars="200" w:left="840" w:hangingChars="200" w:hanging="40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FFS: whether any specification impact is needed considering the existing cut-off time specified in S6.1.6 of TS 38.214</w:t>
            </w:r>
          </w:p>
          <w:p w:rsidR="00C65F4B" w:rsidRDefault="00D44AA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400" w:hangingChars="200" w:hanging="40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If the two Tx chains are triggered to switch between two different band pairs (e.g., band A + </w:t>
            </w:r>
            <w:r>
              <w:rPr>
                <w:sz w:val="20"/>
                <w:szCs w:val="20"/>
                <w:lang w:eastAsia="zh-CN"/>
              </w:rPr>
              <w:lastRenderedPageBreak/>
              <w:t xml:space="preserve">band B-&gt;band C+ band D), and when the two UL transmissions on band C and band D are at least partially overlapped in time domain, the </w:t>
            </w:r>
            <w:r>
              <w:rPr>
                <w:i/>
                <w:iCs/>
                <w:sz w:val="20"/>
                <w:szCs w:val="20"/>
                <w:lang w:eastAsia="zh-CN"/>
              </w:rPr>
              <w:t>T</w:t>
            </w:r>
            <w:r>
              <w:rPr>
                <w:i/>
                <w:iCs/>
                <w:sz w:val="20"/>
                <w:szCs w:val="20"/>
                <w:vertAlign w:val="subscript"/>
                <w:lang w:eastAsia="zh-CN"/>
              </w:rPr>
              <w:t>offset</w:t>
            </w:r>
            <w:r>
              <w:rPr>
                <w:sz w:val="20"/>
                <w:szCs w:val="20"/>
                <w:lang w:eastAsia="zh-CN"/>
              </w:rPr>
              <w:t xml:space="preserve"> of timeline </w:t>
            </w:r>
            <w:r>
              <w:rPr>
                <w:i/>
                <w:iCs/>
                <w:sz w:val="20"/>
                <w:szCs w:val="20"/>
                <w:lang w:eastAsia="zh-CN"/>
              </w:rPr>
              <w:t>T</w:t>
            </w:r>
            <w:r>
              <w:rPr>
                <w:i/>
                <w:iCs/>
                <w:sz w:val="20"/>
                <w:szCs w:val="20"/>
                <w:vertAlign w:val="subscript"/>
                <w:lang w:eastAsia="zh-CN"/>
              </w:rPr>
              <w:t>0</w:t>
            </w:r>
            <w:r>
              <w:rPr>
                <w:i/>
                <w:iCs/>
                <w:sz w:val="20"/>
                <w:szCs w:val="20"/>
                <w:lang w:eastAsia="zh-CN"/>
              </w:rPr>
              <w:t>-T</w:t>
            </w:r>
            <w:r>
              <w:rPr>
                <w:i/>
                <w:iCs/>
                <w:sz w:val="20"/>
                <w:szCs w:val="20"/>
                <w:vertAlign w:val="subscript"/>
                <w:lang w:eastAsia="zh-CN"/>
              </w:rPr>
              <w:t>offset</w:t>
            </w:r>
            <w:r>
              <w:rPr>
                <w:sz w:val="20"/>
                <w:szCs w:val="20"/>
                <w:lang w:eastAsia="zh-CN"/>
              </w:rPr>
              <w:t xml:space="preserve"> for switching is determined based on the switching gap defined for a single Tx switching in [8, TS 38.101-1]</w:t>
            </w:r>
          </w:p>
          <w:p w:rsidR="00C65F4B" w:rsidRDefault="00D44AA5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Chars="200" w:left="840" w:hangingChars="200" w:hanging="40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T0 is the starting point of the earlier transmission among the two uplink transmissions (band C + band D). This does not change the definition of T0 in current specifications.</w:t>
            </w:r>
          </w:p>
          <w:p w:rsidR="00C65F4B" w:rsidRDefault="00D44AA5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Chars="200" w:left="840" w:hangingChars="200" w:hanging="40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FFS: whether any specification impact is needed</w:t>
            </w:r>
          </w:p>
          <w:p w:rsidR="00C65F4B" w:rsidRDefault="00D44AA5">
            <w:pPr>
              <w:spacing w:after="60" w:line="240" w:lineRule="auto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For the first bullet above, new spec impact is not needed given the existing specification already says the following (ref. section 6.1.6 in TS38.214):</w:t>
            </w:r>
          </w:p>
          <w:p w:rsidR="00C65F4B" w:rsidRDefault="00D44AA5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If an uplink switching is triggered for an uplink transmission starting at T</w:t>
            </w:r>
            <w:r>
              <w:rPr>
                <w:i/>
                <w:iCs/>
                <w:sz w:val="20"/>
                <w:szCs w:val="20"/>
                <w:vertAlign w:val="subscript"/>
              </w:rPr>
              <w:t>0</w:t>
            </w:r>
            <w:r>
              <w:rPr>
                <w:i/>
                <w:iCs/>
                <w:sz w:val="20"/>
                <w:szCs w:val="20"/>
              </w:rPr>
              <w:t>, after T</w:t>
            </w:r>
            <w:r>
              <w:rPr>
                <w:i/>
                <w:iCs/>
                <w:sz w:val="20"/>
                <w:szCs w:val="20"/>
                <w:vertAlign w:val="subscript"/>
              </w:rPr>
              <w:t>0</w:t>
            </w:r>
            <w:r>
              <w:rPr>
                <w:i/>
                <w:iCs/>
                <w:sz w:val="20"/>
                <w:szCs w:val="20"/>
              </w:rPr>
              <w:t>-T</w:t>
            </w:r>
            <w:r>
              <w:rPr>
                <w:i/>
                <w:iCs/>
                <w:sz w:val="20"/>
                <w:szCs w:val="20"/>
                <w:vertAlign w:val="subscript"/>
              </w:rPr>
              <w:t>offset</w:t>
            </w:r>
            <w:r>
              <w:rPr>
                <w:i/>
                <w:iCs/>
                <w:sz w:val="20"/>
                <w:szCs w:val="20"/>
              </w:rPr>
              <w:t>, the UE is not expected to cancel the uplink switching, or to trigger any other new uplink switching occurring before T</w:t>
            </w:r>
            <w:r>
              <w:rPr>
                <w:i/>
                <w:iCs/>
                <w:sz w:val="20"/>
                <w:szCs w:val="20"/>
                <w:vertAlign w:val="subscript"/>
              </w:rPr>
              <w:t>0</w:t>
            </w:r>
            <w:r>
              <w:rPr>
                <w:i/>
                <w:iCs/>
                <w:sz w:val="20"/>
                <w:szCs w:val="20"/>
              </w:rPr>
              <w:t xml:space="preserve"> for any other uplink transmission that is scheduled after T</w:t>
            </w:r>
            <w:r>
              <w:rPr>
                <w:i/>
                <w:iCs/>
                <w:sz w:val="20"/>
                <w:szCs w:val="20"/>
                <w:vertAlign w:val="subscript"/>
              </w:rPr>
              <w:t>0</w:t>
            </w:r>
            <w:r>
              <w:rPr>
                <w:i/>
                <w:iCs/>
                <w:sz w:val="20"/>
                <w:szCs w:val="20"/>
              </w:rPr>
              <w:t>-T</w:t>
            </w:r>
            <w:r>
              <w:rPr>
                <w:i/>
                <w:iCs/>
                <w:sz w:val="20"/>
                <w:szCs w:val="20"/>
                <w:vertAlign w:val="subscript"/>
              </w:rPr>
              <w:t>offset</w:t>
            </w:r>
            <w:r>
              <w:rPr>
                <w:i/>
                <w:iCs/>
                <w:sz w:val="20"/>
                <w:szCs w:val="20"/>
              </w:rPr>
              <w:t>, where T</w:t>
            </w:r>
            <w:r>
              <w:rPr>
                <w:i/>
                <w:iCs/>
                <w:sz w:val="20"/>
                <w:szCs w:val="20"/>
                <w:vertAlign w:val="subscript"/>
              </w:rPr>
              <w:t>offset</w:t>
            </w:r>
            <w:r>
              <w:rPr>
                <w:i/>
                <w:iCs/>
                <w:sz w:val="20"/>
                <w:szCs w:val="20"/>
              </w:rPr>
              <w:t xml:space="preserve"> is the UE processing procedure time defined for the uplink transmission triggering the switch given in clause 5.3, clause 5.4, clause 6.2.1, clause 6.4 and in clause 9 of [6, TS 38.213]</w:t>
            </w:r>
            <w:r>
              <w:rPr>
                <w:sz w:val="20"/>
                <w:szCs w:val="20"/>
              </w:rPr>
              <w:t>.</w:t>
            </w:r>
          </w:p>
          <w:p w:rsidR="00C65F4B" w:rsidRDefault="00D44AA5">
            <w:pPr>
              <w:spacing w:after="60" w:line="240" w:lineRule="auto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For the second bullet above,  </w:t>
            </w:r>
          </w:p>
          <w:p w:rsidR="00C65F4B" w:rsidRDefault="00D44AA5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ind w:left="380" w:hangingChars="190" w:hanging="380"/>
              <w:rPr>
                <w:sz w:val="20"/>
                <w:szCs w:val="20"/>
                <w:lang w:eastAsia="zh-CN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For duration </w:t>
            </w:r>
            <w:r>
              <w:rPr>
                <w:i/>
                <w:iCs/>
                <w:sz w:val="20"/>
                <w:szCs w:val="20"/>
                <w:lang w:eastAsia="zh-CN"/>
              </w:rPr>
              <w:t>T</w:t>
            </w:r>
            <w:r>
              <w:rPr>
                <w:i/>
                <w:iCs/>
                <w:sz w:val="20"/>
                <w:szCs w:val="20"/>
                <w:vertAlign w:val="subscript"/>
                <w:lang w:eastAsia="zh-CN"/>
              </w:rPr>
              <w:t>offset</w:t>
            </w:r>
            <w:r>
              <w:rPr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it has been discussed clearly in RAN4. RAN1 spec could safely refer to TS38.101 directly. </w:t>
            </w:r>
          </w:p>
          <w:p w:rsidR="00C65F4B" w:rsidRDefault="00D44AA5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ind w:left="418" w:hangingChars="209" w:hanging="418"/>
              <w:rPr>
                <w:rFonts w:ascii="Times" w:eastAsia="Batang" w:hAnsi="Times"/>
                <w:iCs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For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reference point </w:t>
            </w:r>
            <w:r>
              <w:rPr>
                <w:i/>
                <w:iCs/>
                <w:sz w:val="20"/>
                <w:szCs w:val="20"/>
                <w:lang w:eastAsia="zh-CN"/>
              </w:rPr>
              <w:t>T</w:t>
            </w:r>
            <w:r>
              <w:rPr>
                <w:i/>
                <w:iCs/>
                <w:sz w:val="20"/>
                <w:szCs w:val="20"/>
                <w:vertAlign w:val="subscript"/>
                <w:lang w:eastAsia="zh-CN"/>
              </w:rPr>
              <w:t>0,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according to current specification, the 2</w:t>
            </w:r>
            <w:r>
              <w:rPr>
                <w:rFonts w:eastAsia="SimSun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DCI should not be later than </w:t>
            </w:r>
            <w:r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vertAlign w:val="subscript"/>
              </w:rPr>
              <w:t>0</w:t>
            </w:r>
            <w:r>
              <w:rPr>
                <w:i/>
                <w:sz w:val="20"/>
                <w:szCs w:val="20"/>
              </w:rPr>
              <w:t>-T</w:t>
            </w:r>
            <w:r>
              <w:rPr>
                <w:i/>
                <w:sz w:val="20"/>
                <w:szCs w:val="20"/>
                <w:vertAlign w:val="subscript"/>
              </w:rPr>
              <w:t>offset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, where </w:t>
            </w:r>
            <w:r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is the starting point of the 1</w:t>
            </w:r>
            <w:r>
              <w:rPr>
                <w:rFonts w:eastAsia="SimSun"/>
                <w:bCs/>
                <w:sz w:val="20"/>
                <w:szCs w:val="20"/>
                <w:vertAlign w:val="superscript"/>
                <w:lang w:eastAsia="zh-CN"/>
              </w:rPr>
              <w:t>st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PUSCH triggering Tx switching. In addition, to ensure enough processing time, the gap between the 2</w:t>
            </w:r>
            <w:r>
              <w:rPr>
                <w:rFonts w:eastAsia="SimSun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DCI and the 2</w:t>
            </w:r>
            <w:r>
              <w:rPr>
                <w:rFonts w:eastAsia="SimSun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PUSCH should not be smaller than </w:t>
            </w:r>
            <w:r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vertAlign w:val="subscript"/>
              </w:rPr>
              <w:t>offset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. So although current specification does not indicate earlier PUSCH transmission explicitly, the DCI triggering Tx switching is in fact no later than </w:t>
            </w:r>
            <w:r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vertAlign w:val="subscript"/>
              </w:rPr>
              <w:t>0</w:t>
            </w:r>
            <w:r>
              <w:rPr>
                <w:i/>
                <w:sz w:val="20"/>
                <w:szCs w:val="20"/>
              </w:rPr>
              <w:t>-T</w:t>
            </w:r>
            <w:r>
              <w:rPr>
                <w:i/>
                <w:sz w:val="20"/>
                <w:szCs w:val="20"/>
                <w:vertAlign w:val="subscript"/>
              </w:rPr>
              <w:t>offset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, where </w:t>
            </w:r>
            <w:r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is the starting point of the earlier transmission among the two uplink transmissions. Therefore no new spec change is needed here.</w:t>
            </w:r>
          </w:p>
        </w:tc>
      </w:tr>
      <w:tr w:rsidR="00C65F4B">
        <w:trPr>
          <w:trHeight w:hRule="exact" w:val="72"/>
        </w:trPr>
        <w:tc>
          <w:tcPr>
            <w:tcW w:w="0" w:type="auto"/>
            <w:tcBorders>
              <w:lef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sz w:val="20"/>
                <w:szCs w:val="20"/>
                <w:lang w:val="en-GB" w:eastAsia="ko-KR"/>
              </w:rPr>
            </w:pPr>
          </w:p>
        </w:tc>
      </w:tr>
      <w:tr w:rsidR="00C65F4B"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Summary of change: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pct30" w:color="FFFF00" w:fill="auto"/>
          </w:tcPr>
          <w:p w:rsidR="00C65F4B" w:rsidRDefault="00D44AA5">
            <w:pPr>
              <w:pStyle w:val="CRCoverPage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Only add a reference to TS38.101 in TS38.214 for RAN4 definition of </w:t>
            </w:r>
            <w:r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  <w:vertAlign w:val="subscript"/>
              </w:rPr>
              <w:t>offset</w:t>
            </w:r>
            <w:r>
              <w:rPr>
                <w:rFonts w:ascii="Times New Roman" w:hAnsi="Times New Roman"/>
                <w:lang w:val="en-US"/>
              </w:rPr>
              <w:t xml:space="preserve">. </w:t>
            </w:r>
          </w:p>
        </w:tc>
      </w:tr>
      <w:tr w:rsidR="00C65F4B">
        <w:trPr>
          <w:trHeight w:hRule="exact" w:val="72"/>
        </w:trPr>
        <w:tc>
          <w:tcPr>
            <w:tcW w:w="0" w:type="auto"/>
            <w:tcBorders>
              <w:left w:val="single" w:sz="4" w:space="0" w:color="auto"/>
            </w:tcBorders>
          </w:tcPr>
          <w:p w:rsidR="00C65F4B" w:rsidRDefault="00C65F4B">
            <w:pPr>
              <w:spacing w:line="259" w:lineRule="auto"/>
              <w:rPr>
                <w:rFonts w:ascii="Arial" w:eastAsia="SimSun" w:hAnsi="Arial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65F4B" w:rsidRDefault="00C65F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F4B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F4B" w:rsidRDefault="00D44AA5">
            <w:pPr>
              <w:tabs>
                <w:tab w:val="right" w:pos="2184"/>
              </w:tabs>
              <w:spacing w:line="259" w:lineRule="auto"/>
              <w:jc w:val="left"/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</w:pPr>
            <w:r>
              <w:rPr>
                <w:rFonts w:ascii="Arial" w:eastAsia="SimSun" w:hAnsi="Arial"/>
                <w:b/>
                <w:i/>
                <w:sz w:val="20"/>
                <w:szCs w:val="20"/>
                <w:lang w:val="en-GB" w:eastAsia="ko-KR"/>
              </w:rPr>
              <w:t>Consequences if not approved: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F4B" w:rsidRDefault="00D44AA5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The definition of </w:t>
            </w:r>
            <w:r>
              <w:rPr>
                <w:rFonts w:ascii="Times New Roman" w:eastAsia="SimSun" w:hAnsi="Times New Roman"/>
                <w:bCs/>
                <w:lang w:val="en-US" w:eastAsia="zh-CN"/>
              </w:rPr>
              <w:t xml:space="preserve">duration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T</w:t>
            </w:r>
            <w:r>
              <w:rPr>
                <w:rFonts w:ascii="Times New Roman" w:hAnsi="Times New Roman"/>
                <w:i/>
                <w:iCs/>
                <w:vertAlign w:val="subscript"/>
                <w:lang w:eastAsia="zh-CN"/>
              </w:rPr>
              <w:t>offset</w:t>
            </w:r>
            <w:r>
              <w:rPr>
                <w:rFonts w:ascii="Times New Roman" w:hAnsi="Times New Roman"/>
                <w:lang w:val="en-US"/>
              </w:rPr>
              <w:t xml:space="preserve"> for Rel-18 UL Tx switching is missing from RAN1 spec perspective.</w:t>
            </w:r>
          </w:p>
        </w:tc>
      </w:tr>
      <w:tr w:rsidR="00C65F4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F4B" w:rsidRDefault="00D44AA5">
            <w:pPr>
              <w:pStyle w:val="Heading3"/>
              <w:numPr>
                <w:ilvl w:val="0"/>
                <w:numId w:val="0"/>
              </w:numPr>
              <w:spacing w:before="120" w:after="120" w:line="260" w:lineRule="auto"/>
              <w:ind w:left="907" w:hanging="907"/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</w:pPr>
            <w:r>
              <w:t>6.1.6</w:t>
            </w:r>
            <w:r>
              <w:tab/>
              <w:t>Uplink switching</w:t>
            </w:r>
          </w:p>
          <w:p w:rsidR="00C65F4B" w:rsidRDefault="00D44AA5">
            <w:pPr>
              <w:spacing w:line="240" w:lineRule="auto"/>
              <w:jc w:val="center"/>
            </w:pPr>
            <w:r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  <w:t>************** Unchanged parts omitted**************</w:t>
            </w:r>
          </w:p>
          <w:p w:rsidR="00C65F4B" w:rsidRDefault="00D44AA5">
            <w:r>
              <w:t xml:space="preserve">If an uplink switching is triggered for an uplink transmission starting at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0</w:t>
            </w:r>
            <w:r>
              <w:t xml:space="preserve">, after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>-T</w:t>
            </w:r>
            <w:r>
              <w:rPr>
                <w:i/>
                <w:vertAlign w:val="subscript"/>
              </w:rPr>
              <w:t>offset</w:t>
            </w:r>
            <w:r>
              <w:t xml:space="preserve">, the UE is not expected to cancel the uplink switching, or to trigger any other new uplink switching occurring before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0</w:t>
            </w:r>
            <w:r>
              <w:t xml:space="preserve"> for any other uplink transmission that is scheduled after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>-T</w:t>
            </w:r>
            <w:r>
              <w:rPr>
                <w:i/>
                <w:vertAlign w:val="subscript"/>
              </w:rPr>
              <w:t>offset</w:t>
            </w:r>
            <w:r>
              <w:t xml:space="preserve">, where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offset</w:t>
            </w:r>
            <w:r>
              <w:t xml:space="preserve"> is the UE processing procedure time defined for the uplink transmission triggering the switch given in clause 5.3, clause 5.4, clause 6.2.1, clause 6.4 </w:t>
            </w:r>
            <w:r>
              <w:rPr>
                <w:strike/>
                <w:color w:val="FF0000"/>
              </w:rPr>
              <w:t>and in</w:t>
            </w:r>
            <w:r>
              <w:rPr>
                <w:color w:val="FF0000"/>
              </w:rPr>
              <w:t>,</w:t>
            </w:r>
            <w:r>
              <w:t xml:space="preserve"> clause 9 of [6, TS 38.213] </w:t>
            </w:r>
            <w:r>
              <w:rPr>
                <w:color w:val="FF0000"/>
              </w:rPr>
              <w:t>and clause 6.3A of [8, TS 38.101]</w:t>
            </w:r>
            <w:r>
              <w:t>.</w:t>
            </w:r>
          </w:p>
          <w:p w:rsidR="00C65F4B" w:rsidRDefault="00D44AA5">
            <w:pPr>
              <w:spacing w:line="259" w:lineRule="auto"/>
              <w:jc w:val="center"/>
              <w:rPr>
                <w:rFonts w:ascii="Arial" w:eastAsia="SimSun" w:hAnsi="Arial"/>
                <w:sz w:val="20"/>
                <w:szCs w:val="20"/>
              </w:rPr>
            </w:pPr>
            <w:r>
              <w:rPr>
                <w:rFonts w:ascii="Arial" w:eastAsia="SimSun" w:hAnsi="Arial"/>
                <w:color w:val="FF0000"/>
                <w:sz w:val="18"/>
                <w:szCs w:val="16"/>
                <w:lang w:val="en-GB" w:eastAsia="ko-KR"/>
              </w:rPr>
              <w:t>************** Unchanged parts omitted**************</w:t>
            </w:r>
          </w:p>
        </w:tc>
      </w:tr>
    </w:tbl>
    <w:p w:rsidR="00C65F4B" w:rsidRDefault="00C65F4B">
      <w:pPr>
        <w:rPr>
          <w:rFonts w:eastAsia="SimSun"/>
          <w:bCs/>
          <w:szCs w:val="22"/>
          <w:lang w:eastAsia="zh-CN"/>
        </w:rPr>
      </w:pPr>
    </w:p>
    <w:p w:rsidR="00C65F4B" w:rsidRDefault="00C65F4B">
      <w:pPr>
        <w:rPr>
          <w:lang w:eastAsia="zh-CN"/>
        </w:rPr>
      </w:pPr>
    </w:p>
    <w:p w:rsidR="00C65F4B" w:rsidRDefault="00D44AA5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</w:t>
      </w:r>
      <w:r>
        <w:rPr>
          <w:lang w:eastAsia="zh-CN"/>
        </w:rPr>
        <w:t>clusion</w:t>
      </w:r>
    </w:p>
    <w:p w:rsidR="0036235F" w:rsidRPr="00617AFD" w:rsidRDefault="0036235F" w:rsidP="0036235F">
      <w:pPr>
        <w:spacing w:line="240" w:lineRule="auto"/>
        <w:rPr>
          <w:rFonts w:eastAsiaTheme="minorEastAsia"/>
          <w:b/>
          <w:i/>
          <w:lang w:eastAsia="zh-CN"/>
        </w:rPr>
      </w:pPr>
      <w:r w:rsidRPr="00617AFD">
        <w:rPr>
          <w:rFonts w:eastAsiaTheme="minorEastAsia"/>
          <w:b/>
          <w:i/>
          <w:lang w:eastAsia="zh-CN"/>
        </w:rPr>
        <w:t xml:space="preserve">Proposal 1: For RAN1 #115 agreement requesting “common table” configurations for DCI fields including antenna port, TPMI and SRI, </w:t>
      </w:r>
      <w:r>
        <w:rPr>
          <w:rFonts w:eastAsiaTheme="minorEastAsia"/>
          <w:b/>
          <w:i/>
          <w:lang w:eastAsia="zh-CN"/>
        </w:rPr>
        <w:t xml:space="preserve">update the agreement by appending </w:t>
      </w:r>
      <w:r w:rsidRPr="00617AFD">
        <w:rPr>
          <w:rFonts w:eastAsiaTheme="minorEastAsia"/>
          <w:b/>
          <w:i/>
          <w:lang w:eastAsia="zh-CN"/>
        </w:rPr>
        <w:t xml:space="preserve">the following sub-bullet: </w:t>
      </w:r>
    </w:p>
    <w:p w:rsidR="0036235F" w:rsidRPr="0036235F" w:rsidRDefault="0036235F" w:rsidP="0036235F">
      <w:pPr>
        <w:pStyle w:val="ListParagraph"/>
        <w:numPr>
          <w:ilvl w:val="0"/>
          <w:numId w:val="9"/>
        </w:numPr>
        <w:spacing w:line="240" w:lineRule="auto"/>
        <w:ind w:firstLineChars="0"/>
        <w:rPr>
          <w:rFonts w:eastAsiaTheme="minorEastAsia"/>
          <w:b/>
          <w:i/>
          <w:lang w:eastAsia="zh-CN"/>
        </w:rPr>
      </w:pPr>
      <w:r w:rsidRPr="00617AFD">
        <w:rPr>
          <w:rFonts w:eastAsiaTheme="minorEastAsia"/>
          <w:b/>
          <w:i/>
          <w:lang w:eastAsia="zh-CN"/>
        </w:rPr>
        <w:t xml:space="preserve">UE does not expect the corresponding DCI field to indicate a reserved or undefined table entry for a co-scheduled cell. </w:t>
      </w:r>
    </w:p>
    <w:p w:rsidR="00C65F4B" w:rsidRDefault="00D44AA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 w:rsidR="0036235F">
        <w:rPr>
          <w:rFonts w:eastAsiaTheme="minorEastAsia"/>
          <w:b/>
          <w:i/>
          <w:lang w:eastAsia="zh-CN"/>
        </w:rPr>
        <w:t>roposal 2</w:t>
      </w:r>
      <w:r>
        <w:rPr>
          <w:rFonts w:eastAsiaTheme="minorEastAsia"/>
          <w:b/>
          <w:i/>
          <w:lang w:eastAsia="zh-CN"/>
        </w:rPr>
        <w:t xml:space="preserve">: RAN1 adopts the </w:t>
      </w:r>
      <w:r w:rsidR="0036235F">
        <w:rPr>
          <w:rFonts w:eastAsiaTheme="minorEastAsia"/>
          <w:b/>
          <w:i/>
          <w:lang w:eastAsia="zh-CN"/>
        </w:rPr>
        <w:t xml:space="preserve">two </w:t>
      </w:r>
      <w:r>
        <w:rPr>
          <w:rFonts w:eastAsiaTheme="minorEastAsia"/>
          <w:b/>
          <w:i/>
          <w:lang w:eastAsia="zh-CN"/>
        </w:rPr>
        <w:t>TPs given in this contribution.</w:t>
      </w:r>
    </w:p>
    <w:p w:rsidR="00C65F4B" w:rsidRDefault="00C65F4B">
      <w:pPr>
        <w:rPr>
          <w:rFonts w:eastAsiaTheme="minorEastAsia"/>
          <w:b/>
          <w:i/>
          <w:lang w:eastAsia="zh-CN"/>
        </w:rPr>
      </w:pPr>
    </w:p>
    <w:p w:rsidR="00C65F4B" w:rsidRDefault="00D44AA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eference</w:t>
      </w:r>
    </w:p>
    <w:p w:rsidR="00C65F4B" w:rsidRDefault="00D44AA5">
      <w:pPr>
        <w:rPr>
          <w:szCs w:val="22"/>
        </w:rPr>
      </w:pPr>
      <w:r>
        <w:rPr>
          <w:rFonts w:eastAsiaTheme="minorEastAsia" w:hint="eastAsia"/>
          <w:szCs w:val="22"/>
          <w:lang w:eastAsia="zh-CN"/>
        </w:rPr>
        <w:t>[</w:t>
      </w:r>
      <w:r>
        <w:rPr>
          <w:rFonts w:eastAsiaTheme="minorEastAsia"/>
          <w:szCs w:val="22"/>
          <w:lang w:eastAsia="zh-CN"/>
        </w:rPr>
        <w:t xml:space="preserve">1] </w:t>
      </w:r>
      <w:r>
        <w:rPr>
          <w:szCs w:val="22"/>
        </w:rPr>
        <w:t>R1-2312514, Feature lead summary #5 on multi-cell PUSCH/PDSCH scheduling with a single DCI, Lenovo</w:t>
      </w:r>
    </w:p>
    <w:p w:rsidR="00C65F4B" w:rsidRDefault="00C65F4B">
      <w:pPr>
        <w:rPr>
          <w:rFonts w:eastAsiaTheme="minorEastAsia"/>
          <w:szCs w:val="22"/>
          <w:lang w:eastAsia="zh-CN"/>
        </w:rPr>
      </w:pPr>
    </w:p>
    <w:sectPr w:rsidR="00C65F4B" w:rsidSect="00C65F4B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FD" w:rsidRDefault="00617AFD">
      <w:pPr>
        <w:spacing w:line="240" w:lineRule="auto"/>
      </w:pPr>
      <w:r>
        <w:separator/>
      </w:r>
    </w:p>
  </w:endnote>
  <w:endnote w:type="continuationSeparator" w:id="0">
    <w:p w:rsidR="00617AFD" w:rsidRDefault="00617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Gubbi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jaVu Math TeX Gyre">
    <w:altName w:val="Cambria Math"/>
    <w:charset w:val="00"/>
    <w:family w:val="auto"/>
    <w:pitch w:val="default"/>
    <w:sig w:usb0="00000001" w:usb1="4201F9EE" w:usb2="02000000" w:usb3="00000000" w:csb0="60000193" w:csb1="0DD4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485"/>
      <w:docPartObj>
        <w:docPartGallery w:val="Page Numbers (Bottom of Page)"/>
        <w:docPartUnique/>
      </w:docPartObj>
    </w:sdtPr>
    <w:sdtContent>
      <w:p w:rsidR="00617AFD" w:rsidRDefault="00617AFD">
        <w:pPr>
          <w:pStyle w:val="Footer"/>
          <w:jc w:val="center"/>
        </w:pPr>
        <w:fldSimple w:instr=" PAGE   \* MERGEFORMAT ">
          <w:r w:rsidR="00696908">
            <w:rPr>
              <w:noProof/>
            </w:rPr>
            <w:t>3</w:t>
          </w:r>
        </w:fldSimple>
      </w:p>
    </w:sdtContent>
  </w:sdt>
  <w:p w:rsidR="00617AFD" w:rsidRDefault="00617AF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FD" w:rsidRDefault="00617AFD">
      <w:pPr>
        <w:spacing w:after="0"/>
      </w:pPr>
      <w:r>
        <w:separator/>
      </w:r>
    </w:p>
  </w:footnote>
  <w:footnote w:type="continuationSeparator" w:id="0">
    <w:p w:rsidR="00617AFD" w:rsidRDefault="00617AF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F2B862"/>
    <w:multiLevelType w:val="singleLevel"/>
    <w:tmpl w:val="DFF2B86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E5EF1835"/>
    <w:multiLevelType w:val="singleLevel"/>
    <w:tmpl w:val="E5EF183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F2357CD"/>
    <w:multiLevelType w:val="hybridMultilevel"/>
    <w:tmpl w:val="1C9042EA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>
    <w:nsid w:val="299B5F52"/>
    <w:multiLevelType w:val="hybridMultilevel"/>
    <w:tmpl w:val="0A5CCB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FE343E4"/>
    <w:multiLevelType w:val="multilevel"/>
    <w:tmpl w:val="2FE343E4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5">
    <w:nsid w:val="3A686D6D"/>
    <w:multiLevelType w:val="multilevel"/>
    <w:tmpl w:val="8D20AD5C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83010"/>
    <w:multiLevelType w:val="multilevel"/>
    <w:tmpl w:val="43B83010"/>
    <w:lvl w:ilvl="0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8">
    <w:nsid w:val="739979E1"/>
    <w:multiLevelType w:val="multilevel"/>
    <w:tmpl w:val="739979E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818"/>
    <w:rsid w:val="9DAEBCA2"/>
    <w:rsid w:val="9FBF8B8A"/>
    <w:rsid w:val="BD2F8004"/>
    <w:rsid w:val="BD662801"/>
    <w:rsid w:val="BEE5CE52"/>
    <w:rsid w:val="BFBE24F9"/>
    <w:rsid w:val="C7EFD569"/>
    <w:rsid w:val="C7FF597B"/>
    <w:rsid w:val="DCACAB6A"/>
    <w:rsid w:val="DDD2DB86"/>
    <w:rsid w:val="EE7F7C2A"/>
    <w:rsid w:val="EF7FF237"/>
    <w:rsid w:val="F3F5F2CA"/>
    <w:rsid w:val="F5FD0CC8"/>
    <w:rsid w:val="F9EFB732"/>
    <w:rsid w:val="FBE9F63E"/>
    <w:rsid w:val="FCBB7E8A"/>
    <w:rsid w:val="FEDFD2B1"/>
    <w:rsid w:val="FEEA0044"/>
    <w:rsid w:val="FEFF599F"/>
    <w:rsid w:val="FF2A606F"/>
    <w:rsid w:val="FFFF44F5"/>
    <w:rsid w:val="00005BE1"/>
    <w:rsid w:val="0001312D"/>
    <w:rsid w:val="000137B9"/>
    <w:rsid w:val="00013A8A"/>
    <w:rsid w:val="00016963"/>
    <w:rsid w:val="000416FC"/>
    <w:rsid w:val="00050A6C"/>
    <w:rsid w:val="00061222"/>
    <w:rsid w:val="00061602"/>
    <w:rsid w:val="0007528F"/>
    <w:rsid w:val="000E5028"/>
    <w:rsid w:val="000F6ABA"/>
    <w:rsid w:val="00110B9F"/>
    <w:rsid w:val="00120B5C"/>
    <w:rsid w:val="00127E99"/>
    <w:rsid w:val="00130589"/>
    <w:rsid w:val="00180D4B"/>
    <w:rsid w:val="0019636C"/>
    <w:rsid w:val="001C77FB"/>
    <w:rsid w:val="001E2443"/>
    <w:rsid w:val="001E3AD3"/>
    <w:rsid w:val="001E5F69"/>
    <w:rsid w:val="001F00DC"/>
    <w:rsid w:val="001F4FBD"/>
    <w:rsid w:val="001F51B2"/>
    <w:rsid w:val="0021405F"/>
    <w:rsid w:val="00216DB0"/>
    <w:rsid w:val="00234D30"/>
    <w:rsid w:val="00237393"/>
    <w:rsid w:val="00265C7F"/>
    <w:rsid w:val="002728A7"/>
    <w:rsid w:val="00280FF7"/>
    <w:rsid w:val="0028757E"/>
    <w:rsid w:val="00295C97"/>
    <w:rsid w:val="002B5FF5"/>
    <w:rsid w:val="002D1FB3"/>
    <w:rsid w:val="002D2F86"/>
    <w:rsid w:val="00306DA2"/>
    <w:rsid w:val="00313253"/>
    <w:rsid w:val="00317AEE"/>
    <w:rsid w:val="003216B9"/>
    <w:rsid w:val="003255F9"/>
    <w:rsid w:val="00331AE3"/>
    <w:rsid w:val="00333A77"/>
    <w:rsid w:val="00335F70"/>
    <w:rsid w:val="0033604C"/>
    <w:rsid w:val="003401A6"/>
    <w:rsid w:val="003507FC"/>
    <w:rsid w:val="003513F8"/>
    <w:rsid w:val="0035674D"/>
    <w:rsid w:val="0036235F"/>
    <w:rsid w:val="0037332B"/>
    <w:rsid w:val="00374216"/>
    <w:rsid w:val="00383175"/>
    <w:rsid w:val="0038492D"/>
    <w:rsid w:val="003A1893"/>
    <w:rsid w:val="003A5FE2"/>
    <w:rsid w:val="003B4A36"/>
    <w:rsid w:val="003B539D"/>
    <w:rsid w:val="003D3C6D"/>
    <w:rsid w:val="003D5F0B"/>
    <w:rsid w:val="003D7A86"/>
    <w:rsid w:val="003E775F"/>
    <w:rsid w:val="004030D4"/>
    <w:rsid w:val="00405210"/>
    <w:rsid w:val="00412B7D"/>
    <w:rsid w:val="00422C87"/>
    <w:rsid w:val="0045174D"/>
    <w:rsid w:val="004624A6"/>
    <w:rsid w:val="00475CA7"/>
    <w:rsid w:val="00486545"/>
    <w:rsid w:val="00496CC2"/>
    <w:rsid w:val="004A163D"/>
    <w:rsid w:val="004A7E8B"/>
    <w:rsid w:val="004B4E03"/>
    <w:rsid w:val="004B6513"/>
    <w:rsid w:val="004F2516"/>
    <w:rsid w:val="004F6F16"/>
    <w:rsid w:val="00500B6D"/>
    <w:rsid w:val="005038D2"/>
    <w:rsid w:val="00507C1D"/>
    <w:rsid w:val="00521E4C"/>
    <w:rsid w:val="00546D96"/>
    <w:rsid w:val="00547D2F"/>
    <w:rsid w:val="0056087A"/>
    <w:rsid w:val="00575D55"/>
    <w:rsid w:val="00591F51"/>
    <w:rsid w:val="005948C7"/>
    <w:rsid w:val="005C4560"/>
    <w:rsid w:val="005D2B23"/>
    <w:rsid w:val="005D3751"/>
    <w:rsid w:val="005D4C3D"/>
    <w:rsid w:val="005F6C69"/>
    <w:rsid w:val="006033FA"/>
    <w:rsid w:val="00604E95"/>
    <w:rsid w:val="00606D77"/>
    <w:rsid w:val="00617AFD"/>
    <w:rsid w:val="0062097F"/>
    <w:rsid w:val="00620C43"/>
    <w:rsid w:val="00621542"/>
    <w:rsid w:val="00640195"/>
    <w:rsid w:val="00653067"/>
    <w:rsid w:val="006629D7"/>
    <w:rsid w:val="006660C9"/>
    <w:rsid w:val="00682249"/>
    <w:rsid w:val="00696908"/>
    <w:rsid w:val="006A1C05"/>
    <w:rsid w:val="006C7F13"/>
    <w:rsid w:val="006D4609"/>
    <w:rsid w:val="006E5D24"/>
    <w:rsid w:val="006F2C11"/>
    <w:rsid w:val="006F7D02"/>
    <w:rsid w:val="00714051"/>
    <w:rsid w:val="0073415C"/>
    <w:rsid w:val="007453AB"/>
    <w:rsid w:val="007536E9"/>
    <w:rsid w:val="00753BD9"/>
    <w:rsid w:val="00767D4D"/>
    <w:rsid w:val="00770E78"/>
    <w:rsid w:val="00777BE2"/>
    <w:rsid w:val="00785AF3"/>
    <w:rsid w:val="00793322"/>
    <w:rsid w:val="00794242"/>
    <w:rsid w:val="007A2331"/>
    <w:rsid w:val="007A3986"/>
    <w:rsid w:val="007B4AD9"/>
    <w:rsid w:val="007C4182"/>
    <w:rsid w:val="007C516F"/>
    <w:rsid w:val="007D569E"/>
    <w:rsid w:val="007F1C13"/>
    <w:rsid w:val="007F587E"/>
    <w:rsid w:val="007F6664"/>
    <w:rsid w:val="00811B31"/>
    <w:rsid w:val="00820FCC"/>
    <w:rsid w:val="00844878"/>
    <w:rsid w:val="00844D4B"/>
    <w:rsid w:val="00854C6B"/>
    <w:rsid w:val="008669BB"/>
    <w:rsid w:val="00866BDD"/>
    <w:rsid w:val="00867A68"/>
    <w:rsid w:val="0087429D"/>
    <w:rsid w:val="00882F1C"/>
    <w:rsid w:val="008907A3"/>
    <w:rsid w:val="008A2A37"/>
    <w:rsid w:val="008B4C6E"/>
    <w:rsid w:val="008B713D"/>
    <w:rsid w:val="008C2A5B"/>
    <w:rsid w:val="008C3936"/>
    <w:rsid w:val="008C4524"/>
    <w:rsid w:val="008C6037"/>
    <w:rsid w:val="008D0374"/>
    <w:rsid w:val="008D57FB"/>
    <w:rsid w:val="008E4A9A"/>
    <w:rsid w:val="008F28C3"/>
    <w:rsid w:val="008F2D4D"/>
    <w:rsid w:val="008F4BC8"/>
    <w:rsid w:val="00914FA7"/>
    <w:rsid w:val="00920A5C"/>
    <w:rsid w:val="009301FD"/>
    <w:rsid w:val="0094393A"/>
    <w:rsid w:val="00952958"/>
    <w:rsid w:val="00952C58"/>
    <w:rsid w:val="0095557C"/>
    <w:rsid w:val="0096704E"/>
    <w:rsid w:val="00971CD6"/>
    <w:rsid w:val="00980FC9"/>
    <w:rsid w:val="00981517"/>
    <w:rsid w:val="00993658"/>
    <w:rsid w:val="009C3D4A"/>
    <w:rsid w:val="009D0380"/>
    <w:rsid w:val="009D6372"/>
    <w:rsid w:val="009F5AC2"/>
    <w:rsid w:val="00A14E5E"/>
    <w:rsid w:val="00A15817"/>
    <w:rsid w:val="00A22DBF"/>
    <w:rsid w:val="00A3488D"/>
    <w:rsid w:val="00A43D6E"/>
    <w:rsid w:val="00A52C83"/>
    <w:rsid w:val="00A646AD"/>
    <w:rsid w:val="00A80902"/>
    <w:rsid w:val="00A967D2"/>
    <w:rsid w:val="00AA5F25"/>
    <w:rsid w:val="00AB13B9"/>
    <w:rsid w:val="00AC70EA"/>
    <w:rsid w:val="00AD3862"/>
    <w:rsid w:val="00AD5245"/>
    <w:rsid w:val="00AE16BC"/>
    <w:rsid w:val="00AF0618"/>
    <w:rsid w:val="00B237CB"/>
    <w:rsid w:val="00B5670E"/>
    <w:rsid w:val="00B62905"/>
    <w:rsid w:val="00B806DB"/>
    <w:rsid w:val="00B84A33"/>
    <w:rsid w:val="00B86825"/>
    <w:rsid w:val="00B912DC"/>
    <w:rsid w:val="00BA2F40"/>
    <w:rsid w:val="00BB2F31"/>
    <w:rsid w:val="00BB5733"/>
    <w:rsid w:val="00BF0F86"/>
    <w:rsid w:val="00BF532A"/>
    <w:rsid w:val="00BF7B70"/>
    <w:rsid w:val="00C01BFB"/>
    <w:rsid w:val="00C03602"/>
    <w:rsid w:val="00C41272"/>
    <w:rsid w:val="00C4562F"/>
    <w:rsid w:val="00C517BD"/>
    <w:rsid w:val="00C54C97"/>
    <w:rsid w:val="00C5746E"/>
    <w:rsid w:val="00C57F4A"/>
    <w:rsid w:val="00C65F4B"/>
    <w:rsid w:val="00C9042B"/>
    <w:rsid w:val="00C93B71"/>
    <w:rsid w:val="00C969B3"/>
    <w:rsid w:val="00CA5D9C"/>
    <w:rsid w:val="00CC2E30"/>
    <w:rsid w:val="00CD0F8B"/>
    <w:rsid w:val="00CD4D51"/>
    <w:rsid w:val="00CD7C91"/>
    <w:rsid w:val="00CF3F15"/>
    <w:rsid w:val="00CF61E0"/>
    <w:rsid w:val="00D007D7"/>
    <w:rsid w:val="00D05204"/>
    <w:rsid w:val="00D06B21"/>
    <w:rsid w:val="00D110DB"/>
    <w:rsid w:val="00D11B8E"/>
    <w:rsid w:val="00D13987"/>
    <w:rsid w:val="00D33060"/>
    <w:rsid w:val="00D44AA5"/>
    <w:rsid w:val="00D548DD"/>
    <w:rsid w:val="00D562D4"/>
    <w:rsid w:val="00D6153F"/>
    <w:rsid w:val="00D65005"/>
    <w:rsid w:val="00D7178C"/>
    <w:rsid w:val="00D7337F"/>
    <w:rsid w:val="00D93C57"/>
    <w:rsid w:val="00D95811"/>
    <w:rsid w:val="00DA1D18"/>
    <w:rsid w:val="00DC3F56"/>
    <w:rsid w:val="00DD3796"/>
    <w:rsid w:val="00DD5328"/>
    <w:rsid w:val="00DD752B"/>
    <w:rsid w:val="00E01E3B"/>
    <w:rsid w:val="00E03FE1"/>
    <w:rsid w:val="00E12CD1"/>
    <w:rsid w:val="00E12D83"/>
    <w:rsid w:val="00E173BD"/>
    <w:rsid w:val="00E329DC"/>
    <w:rsid w:val="00E36E37"/>
    <w:rsid w:val="00E44490"/>
    <w:rsid w:val="00E53D74"/>
    <w:rsid w:val="00E53E09"/>
    <w:rsid w:val="00E569A4"/>
    <w:rsid w:val="00E612F6"/>
    <w:rsid w:val="00E634A5"/>
    <w:rsid w:val="00E81954"/>
    <w:rsid w:val="00E91497"/>
    <w:rsid w:val="00EA7909"/>
    <w:rsid w:val="00EB4732"/>
    <w:rsid w:val="00ED16A6"/>
    <w:rsid w:val="00ED383A"/>
    <w:rsid w:val="00EF4F02"/>
    <w:rsid w:val="00F14BEC"/>
    <w:rsid w:val="00F2703C"/>
    <w:rsid w:val="00F35ECB"/>
    <w:rsid w:val="00F35F05"/>
    <w:rsid w:val="00F57818"/>
    <w:rsid w:val="00F669DB"/>
    <w:rsid w:val="00F67B9D"/>
    <w:rsid w:val="00F732BC"/>
    <w:rsid w:val="00F8314B"/>
    <w:rsid w:val="00F92AC5"/>
    <w:rsid w:val="00F96989"/>
    <w:rsid w:val="00FA19B7"/>
    <w:rsid w:val="00FB7B09"/>
    <w:rsid w:val="00FE10FC"/>
    <w:rsid w:val="39DA3EF6"/>
    <w:rsid w:val="4227003E"/>
    <w:rsid w:val="431FC805"/>
    <w:rsid w:val="44FF58A5"/>
    <w:rsid w:val="5DBFB494"/>
    <w:rsid w:val="5FFB64F8"/>
    <w:rsid w:val="65131E68"/>
    <w:rsid w:val="6EFF0D5E"/>
    <w:rsid w:val="6EFFD5C1"/>
    <w:rsid w:val="6F3931B0"/>
    <w:rsid w:val="6F9F46AC"/>
    <w:rsid w:val="717EF746"/>
    <w:rsid w:val="75FF027A"/>
    <w:rsid w:val="7AB9F5C2"/>
    <w:rsid w:val="7BFF48EF"/>
    <w:rsid w:val="7D7B7B09"/>
    <w:rsid w:val="7DCBC349"/>
    <w:rsid w:val="7EF60186"/>
    <w:rsid w:val="7EFDAD49"/>
    <w:rsid w:val="7F7FBB08"/>
    <w:rsid w:val="7FCC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semiHidden="0" w:qFormat="1"/>
    <w:lsdException w:name="List" w:qFormat="1"/>
    <w:lsdException w:name="List 3" w:qFormat="1"/>
    <w:lsdException w:name="List 4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F4B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65F4B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nhideWhenUsed/>
    <w:qFormat/>
    <w:rsid w:val="00C65F4B"/>
    <w:pPr>
      <w:keepNext/>
      <w:keepLines/>
      <w:numPr>
        <w:ilvl w:val="1"/>
        <w:numId w:val="1"/>
      </w:numPr>
      <w:tabs>
        <w:tab w:val="left" w:pos="612"/>
      </w:tabs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5F4B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5F4B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65F4B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C65F4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C65F4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C65F4B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65F4B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65F4B"/>
    <w:pPr>
      <w:spacing w:after="0" w:line="240" w:lineRule="auto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C65F4B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C65F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65F4B"/>
    <w:rPr>
      <w:b/>
      <w:bCs/>
    </w:rPr>
  </w:style>
  <w:style w:type="character" w:styleId="Emphasis">
    <w:name w:val="Emphasis"/>
    <w:uiPriority w:val="20"/>
    <w:qFormat/>
    <w:rsid w:val="00C65F4B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C65F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65F4B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C65F4B"/>
    <w:pPr>
      <w:ind w:left="2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C65F4B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rsid w:val="00C65F4B"/>
    <w:pPr>
      <w:ind w:leftChars="600" w:left="1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C65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sid w:val="00C65F4B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65F4B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C65F4B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65F4B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65F4B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65F4B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65F4B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65F4B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65F4B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C65F4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F4B"/>
    <w:pPr>
      <w:ind w:firstLineChars="200" w:firstLine="420"/>
    </w:pPr>
  </w:style>
  <w:style w:type="paragraph" w:styleId="NoSpacing">
    <w:name w:val="No Spacing"/>
    <w:uiPriority w:val="1"/>
    <w:qFormat/>
    <w:rsid w:val="00C65F4B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65F4B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65F4B"/>
    <w:rPr>
      <w:rFonts w:ascii="Times New Roman" w:eastAsia="Times New Roman" w:hAnsi="Times New Roman" w:cs="Times New Roman"/>
      <w:b/>
      <w:bCs/>
      <w:kern w:val="0"/>
      <w:sz w:val="22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65F4B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C65F4B"/>
    <w:pPr>
      <w:spacing w:after="180" w:line="240" w:lineRule="auto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C65F4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C65F4B"/>
    <w:pPr>
      <w:spacing w:after="180" w:line="240" w:lineRule="auto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C65F4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65F4B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qFormat/>
    <w:locked/>
    <w:rsid w:val="00C65F4B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Normal"/>
    <w:uiPriority w:val="99"/>
    <w:qFormat/>
    <w:rsid w:val="00C65F4B"/>
    <w:pPr>
      <w:numPr>
        <w:numId w:val="2"/>
      </w:numPr>
      <w:spacing w:line="240" w:lineRule="auto"/>
    </w:pPr>
    <w:rPr>
      <w:rFonts w:eastAsia="MS Gothic"/>
      <w:sz w:val="24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C65F4B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C65F4B"/>
    <w:rPr>
      <w:color w:val="808080"/>
    </w:rPr>
  </w:style>
  <w:style w:type="paragraph" w:customStyle="1" w:styleId="B3">
    <w:name w:val="B3"/>
    <w:basedOn w:val="List3"/>
    <w:link w:val="B3Char"/>
    <w:qFormat/>
    <w:rsid w:val="00C65F4B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basedOn w:val="DefaultParagraphFont"/>
    <w:link w:val="B3"/>
    <w:qFormat/>
    <w:rsid w:val="00C65F4B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qFormat/>
    <w:rsid w:val="00C65F4B"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C65F4B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basedOn w:val="DefaultParagraphFont"/>
    <w:link w:val="B4"/>
    <w:qFormat/>
    <w:locked/>
    <w:rsid w:val="00C65F4B"/>
    <w:rPr>
      <w:rFonts w:ascii="Times New Roman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1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1D18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Normal"/>
    <w:rsid w:val="00820FCC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 w:line="240" w:lineRule="auto"/>
      <w:jc w:val="center"/>
      <w:textAlignment w:val="baseline"/>
    </w:pPr>
    <w:rPr>
      <w:rFonts w:ascii="Arial" w:eastAsia="等线" w:hAnsi="Arial"/>
      <w:sz w:val="18"/>
      <w:szCs w:val="18"/>
      <w:lang w:eastAsia="zh-CN"/>
    </w:rPr>
  </w:style>
  <w:style w:type="paragraph" w:customStyle="1" w:styleId="TAH">
    <w:name w:val="TAH"/>
    <w:basedOn w:val="TAC"/>
    <w:rsid w:val="00820FCC"/>
    <w:rPr>
      <w:b/>
    </w:rPr>
  </w:style>
  <w:style w:type="paragraph" w:customStyle="1" w:styleId="TH">
    <w:name w:val="TH"/>
    <w:basedOn w:val="Normal"/>
    <w:rsid w:val="00820FCC"/>
    <w:pPr>
      <w:keepNext/>
      <w:keepLines/>
      <w:widowControl w:val="0"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等线" w:hAnsi="Arial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13</cp:revision>
  <dcterms:created xsi:type="dcterms:W3CDTF">2024-01-31T20:15:00Z</dcterms:created>
  <dcterms:modified xsi:type="dcterms:W3CDTF">2024-02-10T05:50:00Z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  <property fmtid="{D5CDD505-2E9C-101B-9397-08002B2CF9AE}" pid="3" name="ICV">
    <vt:lpwstr>78E27AD7D12845C7B7BC646BEB186D68_12</vt:lpwstr>
  </property>
</Properties>
</file>